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723265</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3"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1"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02" w:lineRule="exact"/>
        <w:rPr>
          <w:sz w:val="24"/>
          <w:szCs w:val="24"/>
          <w:color w:val="auto"/>
        </w:rPr>
      </w:pPr>
    </w:p>
    <w:p>
      <w:pPr>
        <w:ind w:left="66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000-22418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CB2C30"/>
        </w:rPr>
        <w:t>Itron, Inc.</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99060</wp:posOffset>
            </wp:positionV>
            <wp:extent cx="106299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445770"/>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6"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91-1011792</w:t>
      </w:r>
    </w:p>
    <w:p>
      <w:pPr>
        <w:spacing w:after="0" w:line="3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1285" w:right="339" w:bottom="1440" w:gutter="0" w:footer="0" w:header="0"/>
          <w:type w:val="continuous"/>
        </w:sectPr>
      </w:pP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 Liberty Lake, Washington 99019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11"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7960" w:type="dxa"/>
            <w:vAlign w:val="bottom"/>
            <w:gridSpan w:val="5"/>
          </w:tcPr>
          <w:p>
            <w:pPr>
              <w:jc w:val="center"/>
              <w:ind w:right="3090"/>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tc>
      </w:tr>
      <w:tr>
        <w:trPr>
          <w:trHeight w:val="469"/>
        </w:trPr>
        <w:tc>
          <w:tcPr>
            <w:tcW w:w="3140" w:type="dxa"/>
            <w:vAlign w:val="bottom"/>
          </w:tcPr>
          <w:p>
            <w:pPr>
              <w:spacing w:after="0"/>
              <w:rPr>
                <w:sz w:val="24"/>
                <w:szCs w:val="24"/>
                <w:color w:val="auto"/>
              </w:rPr>
            </w:pPr>
          </w:p>
        </w:tc>
        <w:tc>
          <w:tcPr>
            <w:tcW w:w="7960" w:type="dxa"/>
            <w:vAlign w:val="bottom"/>
            <w:gridSpan w:val="5"/>
          </w:tcPr>
          <w:p>
            <w:pPr>
              <w:jc w:val="center"/>
              <w:ind w:right="30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70"/>
        </w:trPr>
        <w:tc>
          <w:tcPr>
            <w:tcW w:w="314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3"/>
                <w:szCs w:val="23"/>
                <w:color w:val="auto"/>
              </w:rPr>
            </w:pP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314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ITRI</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1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Rule</w:t>
            </w:r>
          </w:p>
        </w:tc>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12b-2</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w:t>
            </w:r>
          </w:p>
        </w:tc>
        <w:tc>
          <w:tcPr>
            <w:tcW w:w="1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w:t>
            </w:r>
          </w:p>
        </w:tc>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Act.</w:t>
            </w:r>
          </w:p>
        </w:tc>
      </w:tr>
      <w:tr>
        <w:trPr>
          <w:trHeight w:val="328"/>
        </w:trPr>
        <w:tc>
          <w:tcPr>
            <w:tcW w:w="24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Accelerated filer</w:t>
            </w:r>
          </w:p>
        </w:tc>
        <w:tc>
          <w:tcPr>
            <w:tcW w:w="1260" w:type="dxa"/>
            <w:vAlign w:val="bottom"/>
          </w:tcPr>
          <w:p>
            <w:pPr>
              <w:spacing w:after="0"/>
              <w:rPr>
                <w:sz w:val="24"/>
                <w:szCs w:val="24"/>
                <w:color w:val="auto"/>
              </w:rPr>
            </w:pP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97"/>
        </w:trPr>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480" w:type="dxa"/>
            <w:vAlign w:val="bottom"/>
          </w:tcPr>
          <w:p>
            <w:pPr>
              <w:spacing w:after="0"/>
              <w:rPr>
                <w:sz w:val="24"/>
                <w:szCs w:val="24"/>
                <w:color w:val="auto"/>
              </w:rPr>
            </w:pP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23, 2026, there were outstanding 43,860,429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80" w:type="dxa"/>
            <w:vAlign w:val="bottom"/>
            <w:gridSpan w:val="3"/>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9"/>
              </w:rPr>
              <w:t>Itron, Inc.</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80" w:type="dxa"/>
            <w:vAlign w:val="bottom"/>
            <w:gridSpan w:val="3"/>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02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60" w:type="dxa"/>
            <w:vAlign w:val="bottom"/>
          </w:tcPr>
          <w:p>
            <w:pPr>
              <w:spacing w:after="0"/>
              <w:rPr>
                <w:sz w:val="24"/>
                <w:szCs w:val="24"/>
                <w:color w:val="auto"/>
              </w:rPr>
            </w:pPr>
          </w:p>
        </w:tc>
        <w:tc>
          <w:tcPr>
            <w:tcW w:w="10200" w:type="dxa"/>
            <w:vAlign w:val="bottom"/>
            <w:gridSpan w:val="18"/>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 (Unaudited)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400" w:type="dxa"/>
            <w:vAlign w:val="bottom"/>
            <w:gridSpan w:val="6"/>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5480" w:type="dxa"/>
            <w:vAlign w:val="bottom"/>
            <w:gridSpan w:val="3"/>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60" w:type="dxa"/>
            <w:vAlign w:val="bottom"/>
          </w:tcPr>
          <w:p>
            <w:pPr>
              <w:spacing w:after="0"/>
              <w:rPr>
                <w:sz w:val="24"/>
                <w:szCs w:val="24"/>
                <w:color w:val="auto"/>
              </w:rPr>
            </w:pPr>
          </w:p>
        </w:tc>
        <w:tc>
          <w:tcPr>
            <w:tcW w:w="10200" w:type="dxa"/>
            <w:vAlign w:val="bottom"/>
            <w:gridSpan w:val="18"/>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8"/>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0" w:type="dxa"/>
            <w:vAlign w:val="bottom"/>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8"/>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60" w:type="dxa"/>
            <w:vAlign w:val="bottom"/>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vMerge w:val="restart"/>
          </w:tcPr>
          <w:p>
            <w:pPr>
              <w:spacing w:after="0"/>
              <w:rPr>
                <w:sz w:val="12"/>
                <w:szCs w:val="12"/>
                <w:color w:val="auto"/>
              </w:rPr>
            </w:pPr>
          </w:p>
        </w:tc>
        <w:tc>
          <w:tcPr>
            <w:tcW w:w="102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6"/>
        </w:trPr>
        <w:tc>
          <w:tcPr>
            <w:tcW w:w="60" w:type="dxa"/>
            <w:vAlign w:val="bottom"/>
            <w:vMerge w:val="continue"/>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4"/>
        </w:trPr>
        <w:tc>
          <w:tcPr>
            <w:tcW w:w="60" w:type="dxa"/>
            <w:vAlign w:val="bottom"/>
          </w:tcPr>
          <w:p>
            <w:pPr>
              <w:spacing w:after="0"/>
              <w:rPr>
                <w:sz w:val="24"/>
                <w:szCs w:val="24"/>
                <w:color w:val="auto"/>
              </w:rPr>
            </w:pPr>
          </w:p>
        </w:tc>
        <w:tc>
          <w:tcPr>
            <w:tcW w:w="2780" w:type="dxa"/>
            <w:vAlign w:val="bottom"/>
            <w:tcBorders>
              <w:top w:val="single" w:sz="8" w:color="0000FF"/>
            </w:tcBorders>
            <w:gridSpan w:val="8"/>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7420" w:type="dxa"/>
            <w:vAlign w:val="bottom"/>
            <w:gridSpan w:val="10"/>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8"/>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0" w:type="dxa"/>
            <w:vAlign w:val="bottom"/>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8"/>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60" w:type="dxa"/>
            <w:vAlign w:val="bottom"/>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8"/>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60" w:type="dxa"/>
            <w:vAlign w:val="bottom"/>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8"/>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60" w:type="dxa"/>
            <w:vAlign w:val="bottom"/>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260" w:type="dxa"/>
            <w:vAlign w:val="bottom"/>
            <w:gridSpan w:val="19"/>
            <w:vMerge w:val="restart"/>
          </w:tcPr>
          <w:p>
            <w:pPr>
              <w:ind w:left="60"/>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60" w:type="dxa"/>
            <w:vAlign w:val="bottom"/>
            <w:gridSpan w:val="19"/>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10260" w:type="dxa"/>
            <w:vAlign w:val="bottom"/>
            <w:gridSpan w:val="19"/>
            <w:vMerge w:val="continue"/>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2"/>
        </w:trPr>
        <w:tc>
          <w:tcPr>
            <w:tcW w:w="60" w:type="dxa"/>
            <w:vAlign w:val="bottom"/>
            <w:tcBorders>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4"/>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7"/>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489,002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494,323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1,420,265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1,534,648</w:t>
            </w: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Service revenues</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110,331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87,302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328,952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260,889</w:t>
            </w: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599,333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581,625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1,749,217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1,795,537</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cost of revenues</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302,831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319,238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883,732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1,003,074</w:t>
            </w: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Service cost of revenues</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153,656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132,081</w:t>
            </w:r>
          </w:p>
        </w:tc>
        <w:tc>
          <w:tcPr>
            <w:tcW w:w="0" w:type="dxa"/>
            <w:vAlign w:val="bottom"/>
          </w:tcPr>
          <w:p>
            <w:pPr>
              <w:spacing w:after="0"/>
              <w:rPr>
                <w:sz w:val="1"/>
                <w:szCs w:val="1"/>
                <w:color w:val="auto"/>
              </w:rPr>
            </w:pPr>
          </w:p>
        </w:tc>
      </w:tr>
      <w:tr>
        <w:trPr>
          <w:trHeight w:val="237"/>
        </w:trPr>
        <w:tc>
          <w:tcPr>
            <w:tcW w:w="4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354,463</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362,080</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1,037,388</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1,135,155</w:t>
            </w:r>
          </w:p>
        </w:tc>
        <w:tc>
          <w:tcPr>
            <w:tcW w:w="0" w:type="dxa"/>
            <w:vAlign w:val="bottom"/>
          </w:tcPr>
          <w:p>
            <w:pPr>
              <w:spacing w:after="0"/>
              <w:rPr>
                <w:sz w:val="1"/>
                <w:szCs w:val="1"/>
                <w:color w:val="auto"/>
              </w:rPr>
            </w:pPr>
          </w:p>
        </w:tc>
      </w:tr>
      <w:tr>
        <w:trPr>
          <w:trHeight w:val="237"/>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244,870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660,382</w:t>
            </w: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84,067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279,146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257,665</w:t>
            </w:r>
          </w:p>
        </w:tc>
        <w:tc>
          <w:tcPr>
            <w:tcW w:w="0" w:type="dxa"/>
            <w:vAlign w:val="bottom"/>
          </w:tcPr>
          <w:p>
            <w:pPr>
              <w:spacing w:after="0"/>
              <w:rPr>
                <w:sz w:val="1"/>
                <w:szCs w:val="1"/>
                <w:color w:val="auto"/>
              </w:rPr>
            </w:pPr>
          </w:p>
        </w:tc>
      </w:tr>
      <w:tr>
        <w:trPr>
          <w:trHeight w:val="243"/>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153,932</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0" w:type="dxa"/>
            <w:vAlign w:val="bottom"/>
          </w:tcPr>
          <w:p>
            <w:pPr>
              <w:spacing w:after="0"/>
              <w:rPr>
                <w:sz w:val="1"/>
                <w:szCs w:val="1"/>
                <w:color w:val="auto"/>
              </w:rPr>
            </w:pPr>
          </w:p>
        </w:tc>
      </w:tr>
      <w:tr>
        <w:trPr>
          <w:trHeight w:val="243"/>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149,382</w:t>
            </w:r>
          </w:p>
        </w:tc>
        <w:tc>
          <w:tcPr>
            <w:tcW w:w="10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137,762</w:t>
            </w:r>
          </w:p>
        </w:tc>
        <w:tc>
          <w:tcPr>
            <w:tcW w:w="1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472,698</w:t>
            </w:r>
          </w:p>
        </w:tc>
        <w:tc>
          <w:tcPr>
            <w:tcW w:w="12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425,973</w:t>
            </w: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234,409</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37,582</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22,053</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256,462</w:t>
            </w: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(66,092)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(56,137)</w:t>
            </w:r>
          </w:p>
        </w:tc>
        <w:tc>
          <w:tcPr>
            <w:tcW w:w="0" w:type="dxa"/>
            <w:vAlign w:val="bottom"/>
          </w:tcPr>
          <w:p>
            <w:pPr>
              <w:spacing w:after="0"/>
              <w:rPr>
                <w:sz w:val="1"/>
                <w:szCs w:val="1"/>
                <w:color w:val="auto"/>
              </w:rPr>
            </w:pPr>
          </w:p>
        </w:tc>
      </w:tr>
      <w:tr>
        <w:trPr>
          <w:trHeight w:val="23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200,325</w:t>
            </w:r>
          </w:p>
        </w:tc>
        <w:tc>
          <w:tcPr>
            <w:tcW w:w="0" w:type="dxa"/>
            <w:vAlign w:val="bottom"/>
          </w:tcPr>
          <w:p>
            <w:pPr>
              <w:spacing w:after="0"/>
              <w:rPr>
                <w:sz w:val="1"/>
                <w:szCs w:val="1"/>
                <w:color w:val="auto"/>
              </w:rPr>
            </w:pPr>
          </w:p>
        </w:tc>
      </w:tr>
      <w:tr>
        <w:trPr>
          <w:trHeight w:val="189"/>
        </w:trPr>
        <w:tc>
          <w:tcPr>
            <w:tcW w:w="436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61"/>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Itron,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178,100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199,427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vMerge w:val="continue"/>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45,574</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46,405</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200,325</w:t>
            </w:r>
          </w:p>
        </w:tc>
      </w:tr>
      <w:tr>
        <w:trPr>
          <w:trHeight w:val="257"/>
        </w:trPr>
        <w:tc>
          <w:tcPr>
            <w:tcW w:w="4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4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47,163</w:t>
            </w:r>
          </w:p>
        </w:tc>
      </w:tr>
      <w:tr>
        <w:trPr>
          <w:trHeight w:val="243"/>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benefit obligation adjustment</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7"/>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(19,766)</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47,023</w:t>
            </w:r>
          </w:p>
        </w:tc>
      </w:tr>
      <w:tr>
        <w:trPr>
          <w:trHeight w:val="237"/>
        </w:trPr>
        <w:tc>
          <w:tcPr>
            <w:tcW w:w="4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69,421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63,184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158,564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247,348</w:t>
            </w:r>
          </w:p>
        </w:tc>
      </w:tr>
      <w:tr>
        <w:trPr>
          <w:trHeight w:val="237"/>
        </w:trPr>
        <w:tc>
          <w:tcPr>
            <w:tcW w:w="4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189"/>
        </w:trPr>
        <w:tc>
          <w:tcPr>
            <w:tcW w:w="43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Comprehensive income (loss) attributable to</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3"/>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interests, net of tax</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61"/>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Itron,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246,450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687"/>
        </w:trPr>
        <w:tc>
          <w:tcPr>
            <w:tcW w:w="1280" w:type="dxa"/>
            <w:vAlign w:val="bottom"/>
            <w:tcBorders>
              <w:top w:val="single" w:sz="8" w:color="0000FF"/>
            </w:tcBorders>
          </w:tcPr>
          <w:p>
            <w:pPr>
              <w:spacing w:after="0"/>
              <w:rPr>
                <w:sz w:val="24"/>
                <w:szCs w:val="24"/>
                <w:color w:val="auto"/>
              </w:rPr>
            </w:pPr>
          </w:p>
        </w:tc>
        <w:tc>
          <w:tcPr>
            <w:tcW w:w="548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780" w:type="dxa"/>
            <w:vAlign w:val="bottom"/>
            <w:gridSpan w:val="4"/>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548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3"/>
                <w:szCs w:val="23"/>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40" w:type="dxa"/>
            <w:vAlign w:val="bottom"/>
          </w:tcPr>
          <w:p>
            <w:pPr>
              <w:spacing w:after="0"/>
              <w:rPr>
                <w:sz w:val="23"/>
                <w:szCs w:val="23"/>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7"/>
        </w:trPr>
        <w:tc>
          <w:tcPr>
            <w:tcW w:w="1280" w:type="dxa"/>
            <w:vAlign w:val="bottom"/>
            <w:tcBorders>
              <w:top w:val="single" w:sz="8" w:color="auto"/>
            </w:tcBorders>
          </w:tcPr>
          <w:p>
            <w:pPr>
              <w:spacing w:after="0"/>
              <w:rPr>
                <w:sz w:val="20"/>
                <w:szCs w:val="20"/>
                <w:color w:val="auto"/>
              </w:rPr>
            </w:pPr>
          </w:p>
        </w:tc>
        <w:tc>
          <w:tcPr>
            <w:tcW w:w="5480" w:type="dxa"/>
            <w:vAlign w:val="bottom"/>
            <w:tcBorders>
              <w:top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r>
      <w:tr>
        <w:trPr>
          <w:trHeight w:val="24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43"/>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840,323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1,020,397</w:t>
            </w:r>
          </w:p>
        </w:tc>
      </w:tr>
      <w:tr>
        <w:trPr>
          <w:trHeight w:val="243"/>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367,794</w:t>
            </w:r>
          </w:p>
        </w:tc>
      </w:tr>
      <w:tr>
        <w:trPr>
          <w:trHeight w:val="243"/>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280,972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242,886</w:t>
            </w:r>
          </w:p>
        </w:tc>
      </w:tr>
      <w:tr>
        <w:trPr>
          <w:trHeight w:val="243"/>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182,972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191,241</w:t>
            </w:r>
          </w:p>
        </w:tc>
      </w:tr>
      <w:tr>
        <w:trPr>
          <w:trHeight w:val="237"/>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1,684,330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1,822,318</w:t>
            </w:r>
          </w:p>
        </w:tc>
      </w:tr>
      <w:tr>
        <w:trPr>
          <w:trHeight w:val="202"/>
        </w:trPr>
        <w:tc>
          <w:tcPr>
            <w:tcW w:w="67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43"/>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120,634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112,193</w:t>
            </w:r>
          </w:p>
        </w:tc>
      </w:tr>
      <w:tr>
        <w:trPr>
          <w:trHeight w:val="24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265,183</w:t>
            </w:r>
          </w:p>
        </w:tc>
      </w:tr>
      <w:tr>
        <w:trPr>
          <w:trHeight w:val="243"/>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63,352</w:t>
            </w:r>
          </w:p>
        </w:tc>
      </w:tr>
      <w:tr>
        <w:trPr>
          <w:trHeight w:val="24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29,341</w:t>
            </w:r>
          </w:p>
        </w:tc>
      </w:tr>
      <w:tr>
        <w:trPr>
          <w:trHeight w:val="243"/>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83,337</w:t>
            </w:r>
          </w:p>
        </w:tc>
      </w:tr>
      <w:tr>
        <w:trPr>
          <w:trHeight w:val="243"/>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1,690,417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1,344,983</w:t>
            </w:r>
          </w:p>
        </w:tc>
      </w:tr>
      <w:tr>
        <w:trPr>
          <w:trHeight w:val="262"/>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4,117,027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3,720,707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12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43"/>
        </w:trPr>
        <w:tc>
          <w:tcPr>
            <w:tcW w:w="1280" w:type="dxa"/>
            <w:vAlign w:val="bottom"/>
            <w:shd w:val="clear" w:color="auto" w:fill="CCEEFF"/>
          </w:tcPr>
          <w:p>
            <w:pPr>
              <w:spacing w:after="0"/>
              <w:rPr>
                <w:sz w:val="21"/>
                <w:szCs w:val="21"/>
                <w:color w:val="auto"/>
              </w:rPr>
            </w:pPr>
          </w:p>
        </w:tc>
        <w:tc>
          <w:tcPr>
            <w:tcW w:w="5480" w:type="dxa"/>
            <w:vAlign w:val="bottom"/>
            <w:shd w:val="clear" w:color="auto" w:fill="CCEEFF"/>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2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r>
      <w:tr>
        <w:trPr>
          <w:trHeight w:val="24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43"/>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193,960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156,288</w:t>
            </w:r>
          </w:p>
        </w:tc>
      </w:tr>
      <w:tr>
        <w:trPr>
          <w:trHeight w:val="243"/>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58,864</w:t>
            </w:r>
          </w:p>
        </w:tc>
      </w:tr>
      <w:tr>
        <w:trPr>
          <w:trHeight w:val="243"/>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2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122,245</w:t>
            </w:r>
          </w:p>
        </w:tc>
      </w:tr>
      <w:tr>
        <w:trPr>
          <w:trHeight w:val="243"/>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16,618</w:t>
            </w:r>
          </w:p>
        </w:tc>
      </w:tr>
      <w:tr>
        <w:trPr>
          <w:trHeight w:val="243"/>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debt, net</w:t>
            </w:r>
          </w:p>
        </w:tc>
        <w:tc>
          <w:tcPr>
            <w:tcW w:w="22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459,522</w:t>
            </w:r>
          </w:p>
        </w:tc>
      </w:tr>
      <w:tr>
        <w:trPr>
          <w:trHeight w:val="243"/>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w:t>
            </w:r>
          </w:p>
        </w:tc>
      </w:tr>
      <w:tr>
        <w:trPr>
          <w:trHeight w:val="243"/>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Unearned revenue</w:t>
            </w:r>
          </w:p>
        </w:tc>
        <w:tc>
          <w:tcPr>
            <w:tcW w:w="22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218,971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187,822</w:t>
            </w:r>
          </w:p>
        </w:tc>
      </w:tr>
      <w:tr>
        <w:trPr>
          <w:trHeight w:val="236"/>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1,012,227</w:t>
            </w:r>
          </w:p>
        </w:tc>
      </w:tr>
      <w:tr>
        <w:trPr>
          <w:trHeight w:val="203"/>
        </w:trPr>
        <w:tc>
          <w:tcPr>
            <w:tcW w:w="676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4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788,805</w:t>
            </w:r>
          </w:p>
        </w:tc>
      </w:tr>
      <w:tr>
        <w:trPr>
          <w:trHeight w:val="243"/>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warranty</w:t>
            </w:r>
          </w:p>
        </w:tc>
        <w:tc>
          <w:tcPr>
            <w:tcW w:w="2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r>
      <w:tr>
        <w:trPr>
          <w:trHeight w:val="24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61,998</w:t>
            </w:r>
          </w:p>
        </w:tc>
      </w:tr>
      <w:tr>
        <w:trPr>
          <w:trHeight w:val="243"/>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4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19,623</w:t>
            </w:r>
          </w:p>
        </w:tc>
      </w:tr>
      <w:tr>
        <w:trPr>
          <w:trHeight w:val="243"/>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2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91,885</w:t>
            </w:r>
          </w:p>
        </w:tc>
      </w:tr>
      <w:tr>
        <w:trPr>
          <w:trHeight w:val="237"/>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2,397,715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1,982,511</w:t>
            </w:r>
          </w:p>
        </w:tc>
      </w:tr>
      <w:tr>
        <w:trPr>
          <w:trHeight w:val="203"/>
        </w:trPr>
        <w:tc>
          <w:tcPr>
            <w:tcW w:w="676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4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43"/>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 issued or outstanding</w:t>
            </w:r>
          </w:p>
        </w:tc>
        <w:tc>
          <w:tcPr>
            <w:tcW w:w="22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6760" w:type="dxa"/>
            <w:vAlign w:val="bottom"/>
            <w:gridSpan w:val="2"/>
          </w:tcPr>
          <w:p>
            <w:pPr>
              <w:ind w:left="360"/>
              <w:spacing w:after="0" w:line="189" w:lineRule="exact"/>
              <w:rPr>
                <w:sz w:val="20"/>
                <w:szCs w:val="20"/>
                <w:color w:val="auto"/>
              </w:rPr>
            </w:pPr>
            <w:r>
              <w:rPr>
                <w:rFonts w:ascii="Times New Roman" w:cs="Times New Roman" w:eastAsia="Times New Roman" w:hAnsi="Times New Roman"/>
                <w:sz w:val="18"/>
                <w:szCs w:val="18"/>
                <w:color w:val="auto"/>
              </w:rPr>
              <w:t>Common stock, no par value, 150,000 shares authorized, 43,846 and 44,929 shares</w:t>
            </w:r>
          </w:p>
        </w:tc>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43"/>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issued and outstanding</w:t>
            </w: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1,485,168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1,661,350</w:t>
            </w:r>
          </w:p>
        </w:tc>
      </w:tr>
      <w:tr>
        <w:trPr>
          <w:trHeight w:val="243"/>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(56,505)</w:t>
            </w:r>
          </w:p>
        </w:tc>
      </w:tr>
      <w:tr>
        <w:trPr>
          <w:trHeight w:val="243"/>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289,851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111,751</w:t>
            </w:r>
          </w:p>
        </w:tc>
      </w:tr>
      <w:tr>
        <w:trPr>
          <w:trHeight w:val="236"/>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22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1,698,748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1,716,596</w:t>
            </w:r>
          </w:p>
        </w:tc>
      </w:tr>
      <w:tr>
        <w:trPr>
          <w:trHeight w:val="243"/>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21,600</w:t>
            </w:r>
          </w:p>
        </w:tc>
      </w:tr>
      <w:tr>
        <w:trPr>
          <w:trHeight w:val="236"/>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1,719,312</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1,738,196</w:t>
            </w:r>
          </w:p>
        </w:tc>
      </w:tr>
      <w:tr>
        <w:trPr>
          <w:trHeight w:val="236"/>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4,117,027</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3,720,707</w:t>
            </w:r>
          </w:p>
        </w:tc>
      </w:tr>
      <w:tr>
        <w:trPr>
          <w:trHeight w:val="21"/>
        </w:trPr>
        <w:tc>
          <w:tcPr>
            <w:tcW w:w="1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8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5"/>
                <w:szCs w:val="5"/>
                <w:color w:val="auto"/>
              </w:rPr>
            </w:pPr>
          </w:p>
        </w:tc>
        <w:tc>
          <w:tcPr>
            <w:tcW w:w="120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6"/>
        </w:trPr>
        <w:tc>
          <w:tcPr>
            <w:tcW w:w="2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2026</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1,661,350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111,751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1,716,596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1,738,196</w:t>
            </w: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53,459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53,586</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(12,826)</w:t>
            </w: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20,070</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20,070</w:t>
            </w: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Payments on call spread for convertible</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(70,373)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(70,373)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(70,373)</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offering, net of tax</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Excise tax related to shares repurchased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23"/>
        </w:trPr>
        <w:tc>
          <w:tcPr>
            <w:tcW w:w="28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March 31, 2026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44,322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1,511,342</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(69,331)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165,210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1,607,221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1,628,948</w:t>
            </w: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53,272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53,473</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(5,090)</w:t>
            </w: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12,246</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12,246</w:t>
            </w: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(52,234)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(52,234)</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share issuance to affiliate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Excise tax related to shares repurchased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23"/>
        </w:trPr>
        <w:tc>
          <w:tcPr>
            <w:tcW w:w="28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June 30, 2026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43,774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1,472,138</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(74,421)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218,482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1,616,199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1,638,127</w:t>
            </w: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71,369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71,271</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12,211</w:t>
            </w:r>
          </w:p>
        </w:tc>
        <w:tc>
          <w:tcPr>
            <w:tcW w:w="0" w:type="dxa"/>
            <w:vAlign w:val="bottom"/>
          </w:tcPr>
          <w:p>
            <w:pPr>
              <w:spacing w:after="0"/>
              <w:rPr>
                <w:sz w:val="1"/>
                <w:szCs w:val="1"/>
                <w:color w:val="auto"/>
              </w:rPr>
            </w:pPr>
          </w:p>
        </w:tc>
      </w:tr>
      <w:tr>
        <w:trPr>
          <w:trHeight w:val="23"/>
        </w:trPr>
        <w:tc>
          <w:tcPr>
            <w:tcW w:w="28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1,485,168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(76,271)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289,851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1,698,748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1,719,312</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8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5"/>
                <w:szCs w:val="5"/>
                <w:color w:val="auto"/>
              </w:rPr>
            </w:pPr>
          </w:p>
        </w:tc>
        <w:tc>
          <w:tcPr>
            <w:tcW w:w="1200" w:type="dxa"/>
            <w:vAlign w:val="bottom"/>
            <w:gridSpan w:val="2"/>
            <w:vMerge w:val="restart"/>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3"/>
                <w:szCs w:val="3"/>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5"/>
        </w:trPr>
        <w:tc>
          <w:tcPr>
            <w:tcW w:w="284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2025</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1,689,835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(189,304)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1,390,600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1,411,428</w:t>
            </w: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65,474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65,350</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13,548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13,548</w:t>
            </w: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16,558</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2025</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45,572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1,708,588</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(96,383)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(123,830)</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1,488,375</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20,704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1,509,079</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68,752</w:t>
            </w: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36,514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36,514</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16,838</w:t>
            </w:r>
          </w:p>
        </w:tc>
        <w:tc>
          <w:tcPr>
            <w:tcW w:w="0" w:type="dxa"/>
            <w:vAlign w:val="bottom"/>
          </w:tcPr>
          <w:p>
            <w:pPr>
              <w:spacing w:after="0"/>
              <w:rPr>
                <w:sz w:val="1"/>
                <w:szCs w:val="1"/>
                <w:color w:val="auto"/>
              </w:rPr>
            </w:pPr>
          </w:p>
        </w:tc>
      </w:tr>
      <w:tr>
        <w:trPr>
          <w:trHeight w:val="23"/>
        </w:trPr>
        <w:tc>
          <w:tcPr>
            <w:tcW w:w="28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June 30, 2025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1,728,667</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(55,490)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1,613,308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1,634,424</w:t>
            </w: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66,223</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(3,039)</w:t>
            </w: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14,423</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share issuance to affiliate</w:t>
            </w: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September 30, 2025</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45,791</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1,745,986</w:t>
            </w:r>
          </w:p>
        </w:tc>
        <w:tc>
          <w:tcPr>
            <w:tcW w:w="100" w:type="dxa"/>
            <w:vAlign w:val="bottom"/>
          </w:tcPr>
          <w:p>
            <w:pPr>
              <w:spacing w:after="0"/>
              <w:rPr>
                <w:sz w:val="16"/>
                <w:szCs w:val="16"/>
                <w:color w:val="auto"/>
              </w:rPr>
            </w:pP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(62,908)</w:t>
            </w:r>
          </w:p>
        </w:tc>
        <w:tc>
          <w:tcPr>
            <w:tcW w:w="10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10,123</w:t>
            </w:r>
          </w:p>
        </w:tc>
        <w:tc>
          <w:tcPr>
            <w:tcW w:w="1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1,693,201</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20,217</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1,713,418</w:t>
            </w: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8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178,330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200,325</w:t>
            </w:r>
          </w:p>
        </w:tc>
        <w:tc>
          <w:tcPr>
            <w:tcW w:w="0" w:type="dxa"/>
            <w:vAlign w:val="bottom"/>
          </w:tcPr>
          <w:p>
            <w:pPr>
              <w:spacing w:after="0"/>
              <w:rPr>
                <w:sz w:val="1"/>
                <w:szCs w:val="1"/>
                <w:color w:val="auto"/>
              </w:rPr>
            </w:pPr>
          </w:p>
        </w:tc>
      </w:tr>
      <w:tr>
        <w:trPr>
          <w:trHeight w:val="193"/>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Depreciation and amortization of intangible assets</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55,602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36,221</w:t>
            </w:r>
          </w:p>
        </w:tc>
        <w:tc>
          <w:tcPr>
            <w:tcW w:w="0" w:type="dxa"/>
            <w:vAlign w:val="bottom"/>
          </w:tcPr>
          <w:p>
            <w:pPr>
              <w:spacing w:after="0"/>
              <w:rPr>
                <w:sz w:val="1"/>
                <w:szCs w:val="1"/>
                <w:color w:val="auto"/>
              </w:rPr>
            </w:pPr>
          </w:p>
        </w:tc>
      </w:tr>
      <w:tr>
        <w:trPr>
          <w:trHeight w:val="193"/>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9,889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8,856</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44,527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47,819</w:t>
            </w:r>
          </w:p>
        </w:tc>
        <w:tc>
          <w:tcPr>
            <w:tcW w:w="0" w:type="dxa"/>
            <w:vAlign w:val="bottom"/>
          </w:tcPr>
          <w:p>
            <w:pPr>
              <w:spacing w:after="0"/>
              <w:rPr>
                <w:sz w:val="1"/>
                <w:szCs w:val="1"/>
                <w:color w:val="auto"/>
              </w:rPr>
            </w:pPr>
          </w:p>
        </w:tc>
      </w:tr>
      <w:tr>
        <w:trPr>
          <w:trHeight w:val="193"/>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Amortization of prepaid debt fees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5,765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5,401</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Deferred taxes, net</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48,860</w:t>
            </w:r>
          </w:p>
        </w:tc>
        <w:tc>
          <w:tcPr>
            <w:tcW w:w="0" w:type="dxa"/>
            <w:vAlign w:val="bottom"/>
          </w:tcPr>
          <w:p>
            <w:pPr>
              <w:spacing w:after="0"/>
              <w:rPr>
                <w:sz w:val="1"/>
                <w:szCs w:val="1"/>
                <w:color w:val="auto"/>
              </w:rPr>
            </w:pPr>
          </w:p>
        </w:tc>
      </w:tr>
      <w:tr>
        <w:trPr>
          <w:trHeight w:val="193"/>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Loss on sale of business</w:t>
            </w:r>
          </w:p>
        </w:tc>
        <w:tc>
          <w:tcPr>
            <w:tcW w:w="36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Restructuring, non-cash</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3"/>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Other adjustments, net</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 and sale of business:</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(12,127)</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19,828</w:t>
            </w:r>
          </w:p>
        </w:tc>
        <w:tc>
          <w:tcPr>
            <w:tcW w:w="0" w:type="dxa"/>
            <w:vAlign w:val="bottom"/>
          </w:tcPr>
          <w:p>
            <w:pPr>
              <w:spacing w:after="0"/>
              <w:rPr>
                <w:sz w:val="1"/>
                <w:szCs w:val="1"/>
                <w:color w:val="auto"/>
              </w:rPr>
            </w:pPr>
          </w:p>
        </w:tc>
      </w:tr>
      <w:tr>
        <w:trPr>
          <w:trHeight w:val="193"/>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current assets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5,705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(40,295)</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long-term assets</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6,918</w:t>
            </w:r>
          </w:p>
        </w:tc>
        <w:tc>
          <w:tcPr>
            <w:tcW w:w="0" w:type="dxa"/>
            <w:vAlign w:val="bottom"/>
          </w:tcPr>
          <w:p>
            <w:pPr>
              <w:spacing w:after="0"/>
              <w:rPr>
                <w:sz w:val="1"/>
                <w:szCs w:val="1"/>
                <w:color w:val="auto"/>
              </w:rPr>
            </w:pPr>
          </w:p>
        </w:tc>
      </w:tr>
      <w:tr>
        <w:trPr>
          <w:trHeight w:val="193"/>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other current liabilities, and taxes payable</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27,932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(5,959)</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Wages and benefits payable</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(30,801)</w:t>
            </w:r>
          </w:p>
        </w:tc>
        <w:tc>
          <w:tcPr>
            <w:tcW w:w="0" w:type="dxa"/>
            <w:vAlign w:val="bottom"/>
          </w:tcPr>
          <w:p>
            <w:pPr>
              <w:spacing w:after="0"/>
              <w:rPr>
                <w:sz w:val="1"/>
                <w:szCs w:val="1"/>
                <w:color w:val="auto"/>
              </w:rPr>
            </w:pPr>
          </w:p>
        </w:tc>
      </w:tr>
      <w:tr>
        <w:trPr>
          <w:trHeight w:val="193"/>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Unearned revenue</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32,960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34,320</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Warranty</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0" w:type="dxa"/>
            <w:vAlign w:val="bottom"/>
          </w:tcPr>
          <w:p>
            <w:pPr>
              <w:spacing w:after="0"/>
              <w:rPr>
                <w:sz w:val="1"/>
                <w:szCs w:val="1"/>
                <w:color w:val="auto"/>
              </w:rPr>
            </w:pPr>
          </w:p>
        </w:tc>
      </w:tr>
      <w:tr>
        <w:trPr>
          <w:trHeight w:val="193"/>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Restructuring</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(16,445)</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operating, net</w:t>
            </w:r>
          </w:p>
        </w:tc>
        <w:tc>
          <w:tcPr>
            <w:tcW w:w="3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(13,409)</w:t>
            </w:r>
          </w:p>
        </w:tc>
        <w:tc>
          <w:tcPr>
            <w:tcW w:w="0" w:type="dxa"/>
            <w:vAlign w:val="bottom"/>
          </w:tcPr>
          <w:p>
            <w:pPr>
              <w:spacing w:after="0"/>
              <w:rPr>
                <w:sz w:val="1"/>
                <w:szCs w:val="1"/>
                <w:color w:val="auto"/>
              </w:rPr>
            </w:pPr>
          </w:p>
        </w:tc>
      </w:tr>
      <w:tr>
        <w:trPr>
          <w:trHeight w:val="186"/>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275,545</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286,631</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78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proceeds related to the sale of business</w:t>
            </w:r>
          </w:p>
        </w:tc>
        <w:tc>
          <w:tcPr>
            <w:tcW w:w="3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93"/>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Acquisitions of property, plant, and equipment</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(15,077)</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Business acquisitions, net of cash and cash equivalents acquired</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(514,888)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investing, net</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3,098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0" w:type="dxa"/>
            <w:vAlign w:val="bottom"/>
          </w:tcPr>
          <w:p>
            <w:pPr>
              <w:spacing w:after="0"/>
              <w:rPr>
                <w:sz w:val="1"/>
                <w:szCs w:val="1"/>
                <w:color w:val="auto"/>
              </w:rPr>
            </w:pPr>
          </w:p>
        </w:tc>
      </w:tr>
      <w:tr>
        <w:trPr>
          <w:trHeight w:val="23"/>
        </w:trPr>
        <w:tc>
          <w:tcPr>
            <w:tcW w:w="7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(531,330)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(16,794)</w:t>
            </w:r>
          </w:p>
        </w:tc>
        <w:tc>
          <w:tcPr>
            <w:tcW w:w="0" w:type="dxa"/>
            <w:vAlign w:val="bottom"/>
          </w:tcPr>
          <w:p>
            <w:pPr>
              <w:spacing w:after="0"/>
              <w:rPr>
                <w:sz w:val="1"/>
                <w:szCs w:val="1"/>
                <w:color w:val="auto"/>
              </w:rPr>
            </w:pPr>
          </w:p>
        </w:tc>
      </w:tr>
      <w:tr>
        <w:trPr>
          <w:trHeight w:val="95"/>
        </w:trPr>
        <w:tc>
          <w:tcPr>
            <w:tcW w:w="7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805,000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on debt</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(460,000)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6,332</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on call spread for convertible offering</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(92,817)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(152,234)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debt fees</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w:t>
            </w:r>
          </w:p>
        </w:tc>
        <w:tc>
          <w:tcPr>
            <w:tcW w:w="0" w:type="dxa"/>
            <w:vAlign w:val="bottom"/>
          </w:tcPr>
          <w:p>
            <w:pPr>
              <w:spacing w:after="0"/>
              <w:rPr>
                <w:sz w:val="1"/>
                <w:szCs w:val="1"/>
                <w:color w:val="auto"/>
              </w:rPr>
            </w:pPr>
          </w:p>
        </w:tc>
      </w:tr>
      <w:tr>
        <w:trPr>
          <w:trHeight w:val="193"/>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financing, net</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0" w:type="dxa"/>
            <w:vAlign w:val="bottom"/>
          </w:tcPr>
          <w:p>
            <w:pPr>
              <w:spacing w:after="0"/>
              <w:rPr>
                <w:sz w:val="1"/>
                <w:szCs w:val="1"/>
                <w:color w:val="auto"/>
              </w:rPr>
            </w:pPr>
          </w:p>
        </w:tc>
      </w:tr>
      <w:tr>
        <w:trPr>
          <w:trHeight w:val="23"/>
        </w:trPr>
        <w:tc>
          <w:tcPr>
            <w:tcW w:w="7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79,131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0" w:type="dxa"/>
            <w:vAlign w:val="bottom"/>
          </w:tcPr>
          <w:p>
            <w:pPr>
              <w:spacing w:after="0"/>
              <w:rPr>
                <w:sz w:val="1"/>
                <w:szCs w:val="1"/>
                <w:color w:val="auto"/>
              </w:rPr>
            </w:pPr>
          </w:p>
        </w:tc>
      </w:tr>
      <w:tr>
        <w:trPr>
          <w:trHeight w:val="95"/>
        </w:trPr>
        <w:tc>
          <w:tcPr>
            <w:tcW w:w="7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3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9,033</w:t>
            </w:r>
          </w:p>
        </w:tc>
        <w:tc>
          <w:tcPr>
            <w:tcW w:w="0" w:type="dxa"/>
            <w:vAlign w:val="bottom"/>
          </w:tcPr>
          <w:p>
            <w:pPr>
              <w:spacing w:after="0"/>
              <w:rPr>
                <w:sz w:val="1"/>
                <w:szCs w:val="1"/>
                <w:color w:val="auto"/>
              </w:rPr>
            </w:pPr>
          </w:p>
        </w:tc>
      </w:t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3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(180,074)</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280,707</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1,020,397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1,051,237</w:t>
            </w:r>
          </w:p>
        </w:tc>
        <w:tc>
          <w:tcPr>
            <w:tcW w:w="0" w:type="dxa"/>
            <w:vAlign w:val="bottom"/>
          </w:tcPr>
          <w:p>
            <w:pPr>
              <w:spacing w:after="0"/>
              <w:rPr>
                <w:sz w:val="1"/>
                <w:szCs w:val="1"/>
                <w:color w:val="auto"/>
              </w:rPr>
            </w:pPr>
          </w:p>
        </w:tc>
      </w:t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6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840,323</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1,331,944</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78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Supplemental disclosure of cash flow information:</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Income taxes, net</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54,692</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48,783</w:t>
            </w: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Interest</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12,166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12,787</w:t>
            </w:r>
          </w:p>
        </w:tc>
        <w:tc>
          <w:tcPr>
            <w:tcW w:w="0" w:type="dxa"/>
            <w:vAlign w:val="bottom"/>
          </w:tcPr>
          <w:p>
            <w:pPr>
              <w:spacing w:after="0"/>
              <w:rPr>
                <w:sz w:val="1"/>
                <w:szCs w:val="1"/>
                <w:color w:val="auto"/>
              </w:rPr>
            </w:pPr>
          </w:p>
        </w:tc>
      </w:tr>
      <w:tr>
        <w:trPr>
          <w:trHeight w:val="95"/>
        </w:trPr>
        <w:tc>
          <w:tcPr>
            <w:tcW w:w="7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Non-cash operating, investing and financing activities:</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Deferred tax effect of call spread offering</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22,444</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the terms "we", "us", "our", "Itron", and the "Company" refer to Itron, Inc. and its subsidiaries.</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 Preparation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presented in this Quarterly Report on Form 10-Q are unaudited and reflect entries necessary for the fair presentation of the Consolidated Statements of Operations and the Consolidated Statements of Comprehensive Income for the three and nine months ended September 30, 2026 and 2025, Consolidated Statements of Equity for the three months ended September 30, 2026 and 2025, June 30, 2026 and 2025, and March 31, 2026 and 2025, the Consolidated Statements of Cash Flows for the nine months ended September 30, 2026 and 2025, and the Consolidated Balance Sheets as of September 30, 2026 and December 31, 2025, of Itron, Inc. and its subsidiaries. All entries required for the fair presentation of the financial statements are of a normal recurring nature, except as disclosed. The results of operations for the three and nine months ended September 30, 2026 are not necessarily indicative of the results expected for the full year or for any other period.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2025 filed with the SEC in our Annual Report on Form 10-K on February 17, 2026 (2025 Annual Report). There have been no significant changes in financial statement preparation or significant accounting policies since December 31, 2025.</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Global economic impacts, such as pandemics and various ongoing conflicts around the world, may create disruption in customer demand and global supply chains, resulting in market volatility, which our management continues to monitor. In the aftermath of these types of events, global supply chains, including labor, may struggle to keep pace with rapidly changing demand. Temporary imbalance in supply and demand may create business uncertainties that include increased costs and lack of availability. Efforts continue with suppliers to improve supply resiliency, including the approval of alternative sources. Additionally, inflation in our raw materials and component costs, freight charges, sanctions, tariffs, and labor costs may increase above historical levels due to, among other things, the continuing impacts of an uncertain economic environment. We may or may not be able to fully recover these increased costs through pricing actions with our customers. Currently, we have not identified any significant decrease in long-term customer demand for our products and services.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limited direct business exposure in areas with current conflict, such as Ukraine or the Middle East, military actions globally and any resulting sanctions or tariffs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military action, sanctions, tariffs, and resulting market and/or supply disruptions are impossible to predict but could be substantial, and our management continues to monitor these events closely</w:t>
      </w:r>
      <w:r>
        <w:rPr>
          <w:rFonts w:ascii="Times New Roman" w:cs="Times New Roman" w:eastAsia="Times New Roman" w:hAnsi="Times New Roman"/>
          <w:sz w:val="18"/>
          <w:szCs w:val="18"/>
          <w:color w:val="333333"/>
        </w:rPr>
        <w: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2024-04, </w:t>
      </w:r>
      <w:r>
        <w:rPr>
          <w:rFonts w:ascii="Times New Roman" w:cs="Times New Roman" w:eastAsia="Times New Roman" w:hAnsi="Times New Roman"/>
          <w:sz w:val="18"/>
          <w:szCs w:val="18"/>
          <w:i w:val="1"/>
          <w:iCs w:val="1"/>
          <w:color w:val="auto"/>
        </w:rPr>
        <w:t>Debt—Debt with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Options (Subtopic 470-20): Induced Conversions of Convertible Debt Instruments. </w:t>
      </w:r>
      <w:r>
        <w:rPr>
          <w:rFonts w:ascii="Times New Roman" w:cs="Times New Roman" w:eastAsia="Times New Roman" w:hAnsi="Times New Roman"/>
          <w:sz w:val="18"/>
          <w:szCs w:val="18"/>
          <w:color w:val="auto"/>
        </w:rPr>
        <w:t>The new guidance clarifies the accounting for modifications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conversion features when evaluating whether a transaction should be accounted for as an induced conversion or extinguishment of convertible debt. The ASU is effective for fiscal years beginning after December 15, 2025, including interim periods within those fiscal years. We will utilize this guidance for any future induced conversions or extinguishments of our convertible notes. At this time, we do not expect the adoption of this ASU to have a material impact on our consolidated financial statements.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which modernizes the internal-use software guidance that is accounted for under Subtopic 350-40.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eliminate the previous stage-based model (preliminary project stage, application development stage, and post-implementation stage) and replaces it with a principles-based approach that better aligns with modern software development practice, including agile and iterative methodologies. Under the new guidance, entities may begin capitalizing internal-use software development costs when (1) management has authorized and committed to funding the software project, and (2) it is probable that the project will be completed and the software will be used to perform the function intended. The Accounting Standards Codification (ASC) also supersedes the separate guidance on website development costs guidance and incorporate it into the internal-use software framework. While effective for fiscal years beginning after December 31, 2027, we early adopted ASU 2025-06 on a prospective basis for our fiscal year beginning January 1, 2026, including interim periods. This standard has not had a material impact and is not expected to have a material impact on our consolidated financial statements or related disclosures.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The new guidance is intended to enhance transparency and disclosures by requiring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business entities to disclose additional information about specific expense categories in the notes to financial statements at interim and annual reporting periods. The FASB further clarified the effective date in January 2025 with the issuance of ASU 2025-01, </w:t>
      </w:r>
      <w:r>
        <w:rPr>
          <w:rFonts w:ascii="Times New Roman" w:cs="Times New Roman" w:eastAsia="Times New Roman" w:hAnsi="Times New Roman"/>
          <w:sz w:val="18"/>
          <w:szCs w:val="18"/>
          <w:i w:val="1"/>
          <w:iCs w:val="1"/>
          <w:color w:val="auto"/>
        </w:rPr>
        <w:t>Income Statement—Reporting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Income—Expense Disaggregation Disclosures (Subtopic 220-40): Clarifying the Effective Date. </w:t>
      </w:r>
      <w:r>
        <w:rPr>
          <w:rFonts w:ascii="Times New Roman" w:cs="Times New Roman" w:eastAsia="Times New Roman" w:hAnsi="Times New Roman"/>
          <w:sz w:val="18"/>
          <w:szCs w:val="18"/>
          <w:color w:val="auto"/>
        </w:rPr>
        <w:t>The ASU is effective for our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December 31, 2027, and for interim reporting periods beginning in the first quarter of 2028, with early adoption permitted. We are in the process of evaluating the impact that the adoption of this ASU will have on our consolidated financial statements and related disclosures.</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Derivatives Scope Refinements and Scope Clarification for Share-Based Noncash Consideration from a Customer in a Revenue Contract</w:t>
      </w:r>
      <w:r>
        <w:rPr>
          <w:rFonts w:ascii="Times New Roman" w:cs="Times New Roman" w:eastAsia="Times New Roman" w:hAnsi="Times New Roman"/>
          <w:sz w:val="18"/>
          <w:szCs w:val="18"/>
          <w:color w:val="auto"/>
        </w:rPr>
        <w:t>. The ASU adds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scope exception from derivative accounting for non-exchange-traded contracts with underlyings that are based on operations or activities specific to one of the parties to the contract. The ASU also clarifies that when an entity has a right to receive a share-based payment from its customer in exchange for the transfer of goods or services, the share-based payment should be accounted for as noncash consideration within the scope of ASC 606. ASU 2025-07 is effective for us beginning with our interim financial reports for the first quarter of 2027. This standard is not expected to have any significant impact on our results of operations, financial position, cash flow, or related disclosures.</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December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which is intended to improve the navigability of the guidance in ASC 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and clarify when it applies. Under the amendment, an entity is subject to ASC 270 if it provides interim financial statements and notes in accordance with GAAP. The amendment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our interim financial reports for the first quarter of 2028, with early adoption permitted. We are currently evaluating the impact this standard will have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(EPS):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199,427</w:t>
            </w: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45,574</w:t>
            </w:r>
          </w:p>
        </w:tc>
        <w:tc>
          <w:tcPr>
            <w:tcW w:w="0" w:type="dxa"/>
            <w:vAlign w:val="bottom"/>
          </w:tcPr>
          <w:p>
            <w:pPr>
              <w:spacing w:after="0"/>
              <w:rPr>
                <w:sz w:val="1"/>
                <w:szCs w:val="1"/>
                <w:color w:val="auto"/>
              </w:rPr>
            </w:pPr>
          </w:p>
        </w:tc>
      </w:tr>
      <w:tr>
        <w:trPr>
          <w:trHeight w:val="227"/>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Dilutive effect of stock-based awards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33"/>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Dilutive effect of convertible notes</w:t>
            </w:r>
          </w:p>
        </w:tc>
        <w:tc>
          <w:tcPr>
            <w:tcW w:w="2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44,411</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46,660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44,827</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46,405</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4"/>
        </w:trPr>
        <w:tc>
          <w:tcPr>
            <w:tcW w:w="4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108,000 and 241,000 stock-based awards were excluded from the calculation of diluted EPS for the three and nine months ended September 30, 2026 because they were anti-dilutive. Approximately 16,000 stock-based awards were excluded from the calculation of diluted EPS for the nine months ended September 30, 2025 because they were anti-dilutive. These stock-based awards could be dilutive in future periods.</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Convertible Notes and Share Hedges</w:t>
      </w: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2021 Notes and Warrants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conjunction with the issuance of our 2021 Notes, which were fully repaid on March 16, 2026, we sold warrants to purchase 3.7 million shares of Itron common stock. The warrants had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would be assumed to be used to repurchase shares of our stock at the average market price during the period. The incremental shares, representing the number of shares assumed to be exercised with the warrants less the number of shares repurchased, would be included in diluted weighted average common shares outstanding. For periods where the warrants strike price of $180.00 per share would be greater than the average share price of Itron stock for the period, the warrants would be anti-dilutive. For the three and nine months ended September 30, 2026, the quarterly average closing prices of our common stock did not exceed the warrant strike price, and therefore 3.7 million shares were anti-dilutive. The warrants fully expired October 6, 2026.</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2024 Notes and Capped Call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our convertible notes issued in June 2024 (the 2024 Notes),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closing prices of our common stock for the quarter ended September 30, 2026 were used as the basis for determining the dilutive effect on EPS. The quarterly average closing prices for our common stock did not exceed the conversion price of $131.24, and therefore all associated shares were anti-dilutive.</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2024 Notes, we entered into privately negotiated capped call transactions (the 2024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is subject to certain adjustments under the terms of the 2024 capped call transactions. The 2024 capped call transactions will expire upon the maturity of the 2024 Notes, subject to earlier exercise or termination. Exercise of the 2024 capped call transactions would reduce the number of shares of our common stock outstanding and therefore would be anti-dilutive.</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2026 Notes and Capped Call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our convertible notes issued in February 2026 (the 2026 Notes),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closing prices of our common stock for the quarter ended September 30, 2026 were used as the basis for determining the dilutive effect on EPS. The quarterly average closing prices for our common stock did not exceed the conversion price of $123.77, and therefore all associated shares were anti-dilutive.</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2026 Notes, we entered into privately negotiated capped call transactions (the 2026 capped call transactions) on our common stock with certain commercial banks. The 2026 capped call transactions cover, subject to anti-dilution adjustments substantially similar to those in the 2026 Notes, approximately 6.5 million shares of our common stock, the same number of shares initially underlying the convertible notes, at a strike price of approximately $123.77, subject to customary adjustments. The cap price of the 2026 capped call transactions initially is $190.42 per share, which represents a premium of 100% over the last reported stock price per share of the Company's common stock on February 23, 2026, and is subject to certain adjustments under the terms of the 2026 capped call transactions. The 2026 capped call transactions will expire upon the maturity of the 2026 Notes, subject to earlier exercise or termination. Exercise of the 2026 capped call transactions would reduce the number of shares of our common stock outstanding and therefore would be anti-dilutive.</w:t>
      </w:r>
    </w:p>
    <w:p>
      <w:pPr>
        <w:spacing w:after="0" w:line="2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accounts receivable from contracts with customers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Accounts receivable, net</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2"/>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0"/>
                <w:szCs w:val="20"/>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60" w:type="dxa"/>
            <w:vAlign w:val="bottom"/>
          </w:tcPr>
          <w:p>
            <w:pPr>
              <w:spacing w:after="0"/>
              <w:rPr>
                <w:sz w:val="20"/>
                <w:szCs w:val="20"/>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(net of allowance of $1,076 and $1,113)</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336,101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342,491</w:t>
            </w:r>
          </w:p>
        </w:tc>
      </w:tr>
      <w:tr>
        <w:trPr>
          <w:trHeight w:val="226"/>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43,962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25,303</w:t>
            </w:r>
          </w:p>
        </w:tc>
      </w:tr>
      <w:tr>
        <w:trPr>
          <w:trHeight w:val="251"/>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367,794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Allowance for credit losses account activity</w:t>
            </w: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7"/>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1,113</w:t>
            </w:r>
          </w:p>
        </w:tc>
        <w:tc>
          <w:tcPr>
            <w:tcW w:w="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227"/>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doubtful accounts,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0" w:type="dxa"/>
            <w:vAlign w:val="bottom"/>
          </w:tcPr>
          <w:p>
            <w:pPr>
              <w:spacing w:after="0"/>
              <w:rPr>
                <w:sz w:val="1"/>
                <w:szCs w:val="1"/>
                <w:color w:val="auto"/>
              </w:rPr>
            </w:pPr>
          </w:p>
        </w:tc>
      </w:tr>
      <w:tr>
        <w:trPr>
          <w:trHeight w:val="233"/>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recovered (written-off), net</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7"/>
              </w:rPr>
              <w:t>(49)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27"/>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w w:val="97"/>
              </w:rPr>
              <w:t>(46)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4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1,076</w:t>
            </w:r>
          </w:p>
        </w:tc>
        <w:tc>
          <w:tcPr>
            <w:tcW w:w="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i w:val="1"/>
                <w:iCs w:val="1"/>
                <w:color w:val="auto"/>
              </w:rPr>
              <w:t>Inventories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4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0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420" w:type="dxa"/>
            <w:vAlign w:val="bottom"/>
          </w:tcPr>
          <w:p>
            <w:pPr>
              <w:spacing w:after="0"/>
              <w:rPr>
                <w:sz w:val="20"/>
                <w:szCs w:val="20"/>
                <w:color w:val="auto"/>
              </w:rPr>
            </w:pPr>
          </w:p>
        </w:tc>
        <w:tc>
          <w:tcPr>
            <w:tcW w:w="176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26"/>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229,490</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184,727</w:t>
            </w:r>
          </w:p>
        </w:tc>
        <w:tc>
          <w:tcPr>
            <w:tcW w:w="0" w:type="dxa"/>
            <w:vAlign w:val="bottom"/>
          </w:tcPr>
          <w:p>
            <w:pPr>
              <w:spacing w:after="0"/>
              <w:rPr>
                <w:sz w:val="1"/>
                <w:szCs w:val="1"/>
                <w:color w:val="auto"/>
              </w:rPr>
            </w:pPr>
          </w:p>
        </w:tc>
      </w:tr>
      <w:tr>
        <w:trPr>
          <w:trHeight w:val="226"/>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13,542</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44,617</w:t>
            </w:r>
          </w:p>
        </w:tc>
        <w:tc>
          <w:tcPr>
            <w:tcW w:w="0" w:type="dxa"/>
            <w:vAlign w:val="bottom"/>
          </w:tcPr>
          <w:p>
            <w:pPr>
              <w:spacing w:after="0"/>
              <w:rPr>
                <w:sz w:val="1"/>
                <w:szCs w:val="1"/>
                <w:color w:val="auto"/>
              </w:rPr>
            </w:pPr>
          </w:p>
        </w:tc>
      </w:tr>
      <w:tr>
        <w:trPr>
          <w:trHeight w:val="226"/>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inventories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280,972</w:t>
            </w:r>
          </w:p>
        </w:tc>
        <w:tc>
          <w:tcPr>
            <w:tcW w:w="12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242,886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Property, plant, and equipment, net</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0"/>
                <w:szCs w:val="20"/>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60" w:type="dxa"/>
            <w:vAlign w:val="bottom"/>
          </w:tcPr>
          <w:p>
            <w:pPr>
              <w:spacing w:after="0"/>
              <w:rPr>
                <w:sz w:val="20"/>
                <w:szCs w:val="20"/>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308,989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310,271</w:t>
            </w:r>
          </w:p>
        </w:tc>
      </w:tr>
      <w:tr>
        <w:trPr>
          <w:trHeight w:val="22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123,339</w:t>
            </w:r>
          </w:p>
        </w:tc>
      </w:tr>
      <w:tr>
        <w:trPr>
          <w:trHeight w:val="23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furniture, and improvements</w:t>
            </w:r>
          </w:p>
        </w:tc>
        <w:tc>
          <w:tcPr>
            <w:tcW w:w="26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109,147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107,254</w:t>
            </w:r>
          </w:p>
        </w:tc>
      </w:tr>
      <w:tr>
        <w:trPr>
          <w:trHeight w:val="226"/>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9,654</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 including purchased equipment</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19,226</w:t>
            </w:r>
          </w:p>
        </w:tc>
      </w:tr>
      <w:tr>
        <w:trPr>
          <w:trHeight w:val="22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cost</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561,721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569,744</w:t>
            </w: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(441,087)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(457,551)</w:t>
            </w:r>
          </w:p>
        </w:tc>
      </w:tr>
      <w:tr>
        <w:trPr>
          <w:trHeight w:val="226"/>
        </w:trPr>
        <w:tc>
          <w:tcPr>
            <w:tcW w:w="67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120,634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112,193</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Depreciation expense</w:t>
            </w: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7,636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22,796</w:t>
            </w:r>
          </w:p>
        </w:tc>
      </w:tr>
    </w:tbl>
    <w:p>
      <w:pPr>
        <w:spacing w:after="0" w:line="3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4:</w:t>
        <w:tab/>
        <w:t>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our intangible assets, other than goodwill,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4"/>
                <w:szCs w:val="14"/>
                <w:color w:val="auto"/>
              </w:rPr>
            </w:pPr>
          </w:p>
        </w:tc>
        <w:tc>
          <w:tcPr>
            <w:tcW w:w="136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4"/>
                <w:szCs w:val="14"/>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Net</w:t>
            </w:r>
          </w:p>
        </w:tc>
        <w:tc>
          <w:tcPr>
            <w:tcW w:w="24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4"/>
                <w:szCs w:val="14"/>
                <w:color w:val="auto"/>
              </w:rPr>
            </w:pPr>
          </w:p>
        </w:tc>
        <w:tc>
          <w:tcPr>
            <w:tcW w:w="1380" w:type="dxa"/>
            <w:vAlign w:val="bottom"/>
            <w:gridSpan w:val="2"/>
          </w:tcPr>
          <w:p>
            <w:pPr>
              <w:jc w:val="center"/>
              <w:ind w:right="300"/>
              <w:spacing w:after="0" w:line="17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4"/>
                <w:szCs w:val="14"/>
                <w:color w:val="auto"/>
              </w:rPr>
            </w:pPr>
          </w:p>
        </w:tc>
        <w:tc>
          <w:tcPr>
            <w:tcW w:w="9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Core-developed technology</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78,023</w:t>
            </w:r>
          </w:p>
        </w:tc>
        <w:tc>
          <w:tcPr>
            <w:tcW w:w="12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(39,294)</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38,729</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54,168</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(32,993)</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21,175</w:t>
            </w:r>
          </w:p>
        </w:tc>
        <w:tc>
          <w:tcPr>
            <w:tcW w:w="0" w:type="dxa"/>
            <w:vAlign w:val="bottom"/>
          </w:tcPr>
          <w:p>
            <w:pPr>
              <w:spacing w:after="0"/>
              <w:rPr>
                <w:sz w:val="1"/>
                <w:szCs w:val="1"/>
                <w:color w:val="auto"/>
              </w:rPr>
            </w:pPr>
          </w:p>
        </w:tc>
      </w:tr>
      <w:tr>
        <w:trPr>
          <w:trHeight w:val="23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531,868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(317,422)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214,446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359,837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(299,893)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59,944</w:t>
            </w:r>
          </w:p>
        </w:tc>
        <w:tc>
          <w:tcPr>
            <w:tcW w:w="0" w:type="dxa"/>
            <w:vAlign w:val="bottom"/>
          </w:tcPr>
          <w:p>
            <w:pPr>
              <w:spacing w:after="0"/>
              <w:rPr>
                <w:sz w:val="1"/>
                <w:szCs w:val="1"/>
                <w:color w:val="auto"/>
              </w:rPr>
            </w:pPr>
          </w:p>
        </w:tc>
      </w:tr>
      <w:tr>
        <w:trPr>
          <w:trHeight w:val="226"/>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0" w:type="dxa"/>
            <w:vAlign w:val="bottom"/>
          </w:tcPr>
          <w:p>
            <w:pPr>
              <w:spacing w:after="0"/>
              <w:rPr>
                <w:sz w:val="1"/>
                <w:szCs w:val="1"/>
                <w:color w:val="auto"/>
              </w:rPr>
            </w:pPr>
          </w:p>
        </w:tc>
      </w:tr>
      <w:tr>
        <w:trPr>
          <w:trHeight w:val="251"/>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intangible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637,632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83,337</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22222"/>
        </w:rPr>
        <w:t xml:space="preserve">On January 5, 2026, we completed the acquisition of </w:t>
      </w:r>
      <w:r>
        <w:rPr>
          <w:rFonts w:ascii="Times New Roman" w:cs="Times New Roman" w:eastAsia="Times New Roman" w:hAnsi="Times New Roman"/>
          <w:sz w:val="18"/>
          <w:szCs w:val="18"/>
          <w:color w:val="000000"/>
        </w:rPr>
        <w:t>100%</w:t>
      </w:r>
      <w:r>
        <w:rPr>
          <w:rFonts w:ascii="Times New Roman" w:cs="Times New Roman" w:eastAsia="Times New Roman" w:hAnsi="Times New Roman"/>
          <w:sz w:val="18"/>
          <w:szCs w:val="18"/>
          <w:color w:val="222222"/>
        </w:rPr>
        <w:t xml:space="preserve"> of the outstanding equity of Locusview, Ltd. and subsidiaries (collectively, Locusview) a privately held utility-focused software and services company that is based in the United States and Israel. The purchase resulted in the addition of intangible assets of </w:t>
      </w:r>
      <w:r>
        <w:rPr>
          <w:rFonts w:ascii="Times New Roman" w:cs="Times New Roman" w:eastAsia="Times New Roman" w:hAnsi="Times New Roman"/>
          <w:sz w:val="18"/>
          <w:szCs w:val="18"/>
          <w:color w:val="000000"/>
        </w:rPr>
        <w:t>$204.5 million including $179.0 million identified customer contracts and relationships and $25.5 million of core-developed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technology. The customer contracts and relationships and core-developed technology will be amortized over the ten-year and five-year useful lives, respectively, using the straight-line method. Refer to Note 5: Goodwill and Note 16: Business Combinations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annual amortization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Estimated Annual</w:t>
            </w:r>
          </w:p>
        </w:tc>
        <w:tc>
          <w:tcPr>
            <w:tcW w:w="0" w:type="dxa"/>
            <w:vAlign w:val="bottom"/>
          </w:tcPr>
          <w:p>
            <w:pPr>
              <w:spacing w:after="0"/>
              <w:rPr>
                <w:sz w:val="1"/>
                <w:szCs w:val="1"/>
                <w:color w:val="auto"/>
              </w:rPr>
            </w:pPr>
          </w:p>
        </w:tc>
      </w:tr>
      <w:tr>
        <w:trPr>
          <w:trHeight w:val="214"/>
        </w:trPr>
        <w:tc>
          <w:tcPr>
            <w:tcW w:w="96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22"/>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(amount remaining at September 30,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10,360</w:t>
            </w:r>
          </w:p>
        </w:tc>
        <w:tc>
          <w:tcPr>
            <w:tcW w:w="0" w:type="dxa"/>
            <w:vAlign w:val="bottom"/>
          </w:tcPr>
          <w:p>
            <w:pPr>
              <w:spacing w:after="0"/>
              <w:rPr>
                <w:sz w:val="1"/>
                <w:szCs w:val="1"/>
                <w:color w:val="auto"/>
              </w:rPr>
            </w:pPr>
          </w:p>
        </w:tc>
      </w:tr>
      <w:tr>
        <w:trPr>
          <w:trHeight w:val="227"/>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38,622</w:t>
            </w:r>
          </w:p>
        </w:tc>
        <w:tc>
          <w:tcPr>
            <w:tcW w:w="0" w:type="dxa"/>
            <w:vAlign w:val="bottom"/>
          </w:tcPr>
          <w:p>
            <w:pPr>
              <w:spacing w:after="0"/>
              <w:rPr>
                <w:sz w:val="1"/>
                <w:szCs w:val="1"/>
                <w:color w:val="auto"/>
              </w:rPr>
            </w:pPr>
          </w:p>
        </w:tc>
      </w:tr>
      <w:tr>
        <w:trPr>
          <w:trHeight w:val="23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33,030</w:t>
            </w:r>
          </w:p>
        </w:tc>
        <w:tc>
          <w:tcPr>
            <w:tcW w:w="0" w:type="dxa"/>
            <w:vAlign w:val="bottom"/>
          </w:tcPr>
          <w:p>
            <w:pPr>
              <w:spacing w:after="0"/>
              <w:rPr>
                <w:sz w:val="1"/>
                <w:szCs w:val="1"/>
                <w:color w:val="auto"/>
              </w:rPr>
            </w:pPr>
          </w:p>
        </w:tc>
      </w:tr>
      <w:tr>
        <w:trPr>
          <w:trHeight w:val="226"/>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30,925</w:t>
            </w:r>
          </w:p>
        </w:tc>
        <w:tc>
          <w:tcPr>
            <w:tcW w:w="0" w:type="dxa"/>
            <w:vAlign w:val="bottom"/>
          </w:tcPr>
          <w:p>
            <w:pPr>
              <w:spacing w:after="0"/>
              <w:rPr>
                <w:sz w:val="1"/>
                <w:szCs w:val="1"/>
                <w:color w:val="auto"/>
              </w:rPr>
            </w:pPr>
          </w:p>
        </w:tc>
      </w:tr>
      <w:tr>
        <w:trPr>
          <w:trHeight w:val="23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0" w:type="dxa"/>
            <w:vAlign w:val="bottom"/>
          </w:tcPr>
          <w:p>
            <w:pPr>
              <w:spacing w:after="0"/>
              <w:rPr>
                <w:sz w:val="1"/>
                <w:szCs w:val="1"/>
                <w:color w:val="auto"/>
              </w:rPr>
            </w:pPr>
          </w:p>
        </w:tc>
      </w:tr>
      <w:tr>
        <w:trPr>
          <w:trHeight w:val="227"/>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112,115</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intangible assets subject to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255,052</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Amortization Expense</w:t>
            </w: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4,403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13,425</w:t>
            </w:r>
          </w:p>
        </w:tc>
      </w:tr>
    </w:tbl>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all amortization expense within amortization of intangible assets in the Consolidated Statements of Operations, except core-developed technology, which is included in cost of revenues. These expenses relate to intangible assets acquired as part of business combinations.</w:t>
      </w:r>
    </w:p>
    <w:p>
      <w:pPr>
        <w:spacing w:after="0" w:line="26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changes in the carrying amount of goodwill for the nine months ended September 30, 2026:</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Networked Solutions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Resiliency Solutions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22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January 1,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927,720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1,344,983</w:t>
            </w:r>
          </w:p>
        </w:tc>
      </w:tr>
      <w:tr>
        <w:trPr>
          <w:trHeight w:val="230"/>
        </w:trPr>
        <w:tc>
          <w:tcPr>
            <w:tcW w:w="3320" w:type="dxa"/>
            <w:vAlign w:val="bottom"/>
          </w:tcPr>
          <w:p>
            <w:pPr>
              <w:ind w:left="360"/>
              <w:spacing w:after="0" w:line="230" w:lineRule="exact"/>
              <w:rPr>
                <w:sz w:val="20"/>
                <w:szCs w:val="20"/>
                <w:color w:val="auto"/>
              </w:rPr>
            </w:pPr>
            <w:r>
              <w:rPr>
                <w:rFonts w:ascii="Times New Roman" w:cs="Times New Roman" w:eastAsia="Times New Roman" w:hAnsi="Times New Roman"/>
                <w:sz w:val="16"/>
                <w:szCs w:val="16"/>
                <w:color w:val="auto"/>
              </w:rPr>
              <w:t xml:space="preserve">Goodwill acquired </w:t>
            </w:r>
            <w:r>
              <w:rPr>
                <w:rFonts w:ascii="Times New Roman" w:cs="Times New Roman" w:eastAsia="Times New Roman" w:hAnsi="Times New Roman"/>
                <w:sz w:val="21"/>
                <w:szCs w:val="21"/>
                <w:color w:val="auto"/>
                <w:vertAlign w:val="superscript"/>
              </w:rPr>
              <w:t>(1)(2)</w:t>
            </w:r>
          </w:p>
        </w:tc>
        <w:tc>
          <w:tcPr>
            <w:tcW w:w="140" w:type="dxa"/>
            <w:vAlign w:val="bottom"/>
          </w:tcPr>
          <w:p>
            <w:pPr>
              <w:spacing w:after="0"/>
              <w:rPr>
                <w:sz w:val="19"/>
                <w:szCs w:val="19"/>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356,984</w:t>
            </w:r>
          </w:p>
        </w:tc>
      </w:tr>
      <w:tr>
        <w:trPr>
          <w:trHeight w:val="229"/>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(11,550)</w:t>
            </w:r>
          </w:p>
        </w:tc>
      </w:tr>
      <w:tr>
        <w:trPr>
          <w:trHeight w:val="22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balance at September 30, 2026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917,751</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160,806</w:t>
            </w:r>
          </w:p>
        </w:tc>
        <w:tc>
          <w:tcPr>
            <w:tcW w:w="100" w:type="dxa"/>
            <w:vAlign w:val="bottom"/>
          </w:tcPr>
          <w:p>
            <w:pPr>
              <w:spacing w:after="0"/>
              <w:rPr>
                <w:sz w:val="19"/>
                <w:szCs w:val="19"/>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611,860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1,690,417</w:t>
            </w:r>
          </w:p>
        </w:tc>
      </w:tr>
      <w:tr>
        <w:trPr>
          <w:trHeight w:val="24"/>
        </w:trPr>
        <w:tc>
          <w:tcPr>
            <w:tcW w:w="33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r>
    </w:tbl>
    <w:p>
      <w:pPr>
        <w:spacing w:after="0" w:line="81" w:lineRule="exact"/>
        <w:rPr>
          <w:sz w:val="20"/>
          <w:szCs w:val="20"/>
          <w:color w:val="auto"/>
        </w:rPr>
      </w:pPr>
    </w:p>
    <w:p>
      <w:pPr>
        <w:ind w:firstLine="8"/>
        <w:spacing w:after="0" w:line="238" w:lineRule="auto"/>
        <w:tabs>
          <w:tab w:leader="none" w:pos="168"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January 5, 2026, we acquired Locusview, Ltd. The purchase resulted in the recognition of $357.3 million in goodwill allocated to our Resiliency Solutions reportable segment. Refer to Note 4: Intangible Assets and Note 16: Business Combinations for additional information on the transaction.</w:t>
      </w:r>
    </w:p>
    <w:p>
      <w:pPr>
        <w:ind w:right="20" w:firstLine="8"/>
        <w:spacing w:after="0" w:line="275" w:lineRule="auto"/>
        <w:tabs>
          <w:tab w:leader="none" w:pos="149"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Subsequent to the acquisition date of Urbint, Inc. on November 3, 2025, we made certain measurement period adjustments to the purchase price allocation, which resulted in a decrease to goodwill of $0.4 million for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6:</w:t>
        <w:tab/>
        <w:t>Debt</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components of our borrowings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3"/>
        </w:trPr>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Credit facility</w:t>
            </w: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2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 Convertible notes</w:t>
            </w:r>
          </w:p>
        </w:tc>
        <w:tc>
          <w:tcPr>
            <w:tcW w:w="260" w:type="dxa"/>
            <w:vAlign w:val="bottom"/>
          </w:tcPr>
          <w:p>
            <w:pPr>
              <w:spacing w:after="0"/>
              <w:rPr>
                <w:sz w:val="19"/>
                <w:szCs w:val="19"/>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32"/>
        </w:trPr>
        <w:tc>
          <w:tcPr>
            <w:tcW w:w="20" w:type="dxa"/>
            <w:vAlign w:val="bottom"/>
          </w:tcPr>
          <w:p>
            <w:pPr>
              <w:spacing w:after="0"/>
              <w:rPr>
                <w:sz w:val="20"/>
                <w:szCs w:val="20"/>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Convertible notes</w:t>
            </w:r>
          </w:p>
        </w:tc>
        <w:tc>
          <w:tcPr>
            <w:tcW w:w="26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805,000</w:t>
            </w:r>
          </w:p>
        </w:tc>
      </w:tr>
      <w:tr>
        <w:trPr>
          <w:trHeight w:val="227"/>
        </w:trPr>
        <w:tc>
          <w:tcPr>
            <w:tcW w:w="20" w:type="dxa"/>
            <w:vAlign w:val="bottom"/>
          </w:tcPr>
          <w:p>
            <w:pPr>
              <w:spacing w:after="0"/>
              <w:rPr>
                <w:sz w:val="19"/>
                <w:szCs w:val="19"/>
                <w:color w:val="auto"/>
              </w:rPr>
            </w:pPr>
          </w:p>
        </w:tc>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2026 Convertible notes</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805,000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20" w:type="dxa"/>
            <w:vAlign w:val="bottom"/>
          </w:tcPr>
          <w:p>
            <w:pPr>
              <w:spacing w:after="0"/>
              <w:rPr>
                <w:sz w:val="19"/>
                <w:szCs w:val="19"/>
                <w:color w:val="auto"/>
              </w:rPr>
            </w:pPr>
          </w:p>
        </w:tc>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1,610,000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1,265,000</w:t>
            </w: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debt, gross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27"/>
        </w:trPr>
        <w:tc>
          <w:tcPr>
            <w:tcW w:w="20" w:type="dxa"/>
            <w:vAlign w:val="bottom"/>
          </w:tcPr>
          <w:p>
            <w:pPr>
              <w:spacing w:after="0"/>
              <w:rPr>
                <w:sz w:val="19"/>
                <w:szCs w:val="19"/>
                <w:color w:val="auto"/>
              </w:rPr>
            </w:pPr>
          </w:p>
        </w:tc>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prepaid debt fees - current portion of debt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243"/>
        </w:trPr>
        <w:tc>
          <w:tcPr>
            <w:tcW w:w="20" w:type="dxa"/>
            <w:vAlign w:val="bottom"/>
          </w:tcPr>
          <w:p>
            <w:pPr>
              <w:spacing w:after="0"/>
              <w:rPr>
                <w:sz w:val="21"/>
                <w:szCs w:val="21"/>
                <w:color w:val="auto"/>
              </w:rPr>
            </w:pPr>
          </w:p>
        </w:tc>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portion of debt,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459,522</w:t>
            </w: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gross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805,000</w:t>
            </w:r>
          </w:p>
        </w:tc>
      </w:tr>
      <w:tr>
        <w:trPr>
          <w:trHeight w:val="226"/>
        </w:trPr>
        <w:tc>
          <w:tcPr>
            <w:tcW w:w="20" w:type="dxa"/>
            <w:vAlign w:val="bottom"/>
          </w:tcPr>
          <w:p>
            <w:pPr>
              <w:spacing w:after="0"/>
              <w:rPr>
                <w:sz w:val="19"/>
                <w:szCs w:val="19"/>
                <w:color w:val="auto"/>
              </w:rPr>
            </w:pPr>
          </w:p>
        </w:tc>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prepaid debt fees - long-term debt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32,961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16,195</w:t>
            </w:r>
          </w:p>
        </w:tc>
      </w:tr>
      <w:tr>
        <w:trPr>
          <w:trHeight w:val="248"/>
        </w:trPr>
        <w:tc>
          <w:tcPr>
            <w:tcW w:w="2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1,577,039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788,805</w:t>
            </w: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2025 Credit Facility</w:t>
      </w:r>
    </w:p>
    <w:p>
      <w:pPr>
        <w:spacing w:after="0" w:line="254"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On September 25, 2025, we entered into a third amended and restated credit agreement (the 2025 credit facility) providing for committed credit facilities in the amount of $750 million. The 2025 credit facility consists of a multi-currency revolving line of credit (the revolver) in the amount of $750 million. The revolver includes a standby letter of credit sub-facility in the amount of $300 million, and a swingline sub-facility in the amount of $50 million. Any outstanding principal under the revolver is due at maturity on September 25, 2030. Principal amounts paid prior to the maturity date may be reborrowed prior to such date. However, that date may be advanced to April 15, 2030 if we do not settle or extend a sufficient portion of our outstanding convertible notes, as detailed in the credit agreement.</w:t>
      </w:r>
    </w:p>
    <w:p>
      <w:pPr>
        <w:spacing w:after="0" w:line="214"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Under the 2025 credit facility, we may elect applicable market interest rates for any outstanding revolving loans. We also pay an applicable margin, which is based on its total net leverage ratio as defined in the credit agreement. The applicable rates per annum may be based on the following: (1) the Term Secured Overnight Financing Rate (SOFR), plus an applicable margin or (2) the Alternate Base Rate, plus an applicable margin. The Alternate Base Rate election is equal to the greatest of three rates: (i) the prime rate, (ii) the Federal Reserve effective rate plus 0.50%, or (iii) SOFR plus 1.00%. Committed amounts not borrowed under the revolver are subject to a commitment fee (paid quarterly in arrears). The spreads applicable to SOFR and the annual committee fee rates are, as follows: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Leverage Ratio</w:t>
            </w:r>
          </w:p>
        </w:tc>
        <w:tc>
          <w:tcPr>
            <w:tcW w:w="100" w:type="dxa"/>
            <w:vAlign w:val="bottom"/>
            <w:tcBorders>
              <w:bottom w:val="single" w:sz="8" w:color="CCEEFF"/>
            </w:tcBorders>
          </w:tcPr>
          <w:p>
            <w:pPr>
              <w:spacing w:after="0"/>
              <w:rPr>
                <w:sz w:val="18"/>
                <w:szCs w:val="18"/>
                <w:color w:val="auto"/>
              </w:rPr>
            </w:pP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00" w:type="dxa"/>
            <w:vAlign w:val="bottom"/>
            <w:tcBorders>
              <w:bottom w:val="single" w:sz="8" w:color="CCEEFF"/>
            </w:tcBorders>
          </w:tcPr>
          <w:p>
            <w:pPr>
              <w:spacing w:after="0"/>
              <w:rPr>
                <w:sz w:val="18"/>
                <w:szCs w:val="18"/>
                <w:color w:val="auto"/>
              </w:rPr>
            </w:pPr>
          </w:p>
        </w:tc>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 Fee</w:t>
            </w:r>
          </w:p>
        </w:tc>
      </w:tr>
      <w:tr>
        <w:trPr>
          <w:trHeight w:val="226"/>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3.50</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+ 175.0 bps</w:t>
            </w: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bps</w:t>
            </w:r>
          </w:p>
        </w:tc>
      </w:tr>
      <w:tr>
        <w:trPr>
          <w:trHeight w:val="227"/>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2.51 to 3.50</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+ 150.0 bps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25.0 bps</w:t>
            </w:r>
          </w:p>
        </w:tc>
      </w:tr>
      <w:tr>
        <w:trPr>
          <w:trHeight w:val="232"/>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1.51 to 2.50</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+ 137.5 bps</w:t>
            </w: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bps</w:t>
            </w:r>
          </w:p>
        </w:tc>
      </w:tr>
      <w:tr>
        <w:trPr>
          <w:trHeight w:val="224"/>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than or equal to 1.50</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+ 125.0 bps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17.5 bps</w:t>
            </w:r>
          </w:p>
        </w:tc>
      </w:tr>
    </w:tbl>
    <w:p>
      <w:pPr>
        <w:spacing w:after="0" w:line="312"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The 2025 credit facility permits us and certain of our foreign subsidiaries to borrow in U.S. dollars, euros, or, with lender approval, other currencies readily convertible into U.S. dollars. All obligations under the 2025 credit facility are guaranteed by Itron, Inc. and material U.S. domestic subsidiaries and are secured by a pledge of substantially all of the assets of Itron, Inc. and material U.S. domestic subsidiaries. This included a pledge of 100% of the capital stock of material U.S. domestic subsidiaries and up to 66% of the voting stock (100% of the non-voting stock) of first-tier foreign subsidiaries. In addition, the obligations of any foreign subsidiary who is a foreign borrower, as defined by the 2025 credit facility, are guaranteed by the foreign subsidiary and by its direct and indirect foreign parents. The 2025 credit facility includes debt covenants, which contained certain financial thresholds and placed certain restrictions on the incurrence of debt, investments, and the issuance of dividends. We are in compliance with the debt covenants under the 2025 credit facility at September 30, 2026.</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there were no outstanding loan balances under the 2025 credit facility and $27.7 million was utilized by outstanding standby letters of credit, resulting in $722.3 million available for additional borrowings. As of September 30, 2026, $272.3 million was available for additional standby letters of credit under the letter of credit sub-facility, and no amounts were outstanding under the swingline sub-facility.</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2021 Notes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12, 2021, we closed the sale of $460 million of convertible notes in a private placement to qualified institutional buyers, resulting in net proceeds to us of $448.5 million after deducting initial purchasers' discounts of the offering. The 2021 Notes did not bear regular interest, and the principal amount did not accrete. The 2021 Notes matured on March 15, 2026 and were repaid in full on March 16, 2026.</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2024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21, 2024, we closed the sale of $805 million of convertible notes in a private placement to qualified institutional buyers, resulting in net proceeds to us of $784 million after deducting initial purchasers' discounts of the offering. The 2024 Notes accrue interest at a rate of 1.375% per annum, payable semi-annually in arrears on January 15 and July 15 of each year, beginning on January 15, 2025. The 2024 Notes mature on July 15, 2030, unless earlier repurchased, redeemed, or converted in accordance with their terms.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conversion rate of the 2024 Notes is 7.6199 shares of our common stock per $1,000 principal amount of notes, which is equivalent to an initial conversion price of approximately $131.24 per share. The conversion rate of the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notes in connection with such make-whole fundamental change or notice of redemption, as the case may be.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April 15, 2030, the 2024 Notes are convertible at the option of the holders only under the following circumstances: (1) during any calendar quarter commencing after the calendar quarter ending on September 30, 2024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the notes for each trading day of the measurement period was less than 98% of the product of the last reported sale price of the common stock and the conversion rate on each such trading day; (3) upon the occurrence of specified corporate events; or (4) upon redemption by us. On or after April 15, 2030, until the close of business on the second scheduled trading day immediately preceding July 15, 2030, holders of the notes may convert all or a portion of their notes at any time. Upon conversion, we will pay cash up to the aggregate principal amount of the notes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Subsequent to July 20, 2028 and prior to April 15, 2030, we may redeem for cash all or part of the 2024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However, we may not redeem less than all of the outstanding notes unless at least $100.0 million aggregate principal amount of notes are outstanding and not called for redemption as of the time we send related redemption notices. The redemption price of each note to be redeemed will be the principal amount of such note, plus accrued and unpaid special interest, if any. Upon the occurrence of a fundamental change (as defined in the indenture governing the 2024 Notes), subject to a limited exception described in the indenture governing the notes, holders may require us to repurchase all or a portion of their notes for cash at a price equal to plus accrued and unpaid special interest to, but not including, the fundamental change repurchase date (as defined in the indenture governing the 2024 Notes).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Notes are senior unsecured obligations and rank equally in right of payment with all of our existing and future unsubordinated debt and senior in right of payment to any future debt that is expressly subordinated in right of payment to the notes. The notes will be effectively subordinated to any of our existing and future secured debt to the extent of the assets securing such indebtedness. The notes will be structurally subordinated to all existing debt and any future debt and any other liabilities of our subsidiaries.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23, 2026, we closed the sale of $805 million of convertible notes in a private placement to qualified institutional buyers, resulting in net proceeds to us of $784 million after deducting initial purchasers' discounts of the offering. The 2026 Notes do not bear regular interest, and the principal amount does not accrete. The 2026 Notes mature on March 15, 2032, unless earlier repurchased, redeemed, or converted in accordance with their terms.</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conversion rate of the 2026 Notes is 8.0793 shares of our common stock per $1,000 principal amount of notes, which is equivalent to an initial conversion price of approximately $123.77 per share. The conversion rate of the notes is subject to adjustment upon the occurrence of certain specified events. In addition, upon the occurrence of a make-whole fundamental change (as defined in the indenture) or upon delivery of a notice of redemption, we will, in certain circumstances, increase the conversion rate for a holder that elects to convert its notes in connection with such make-whole fundamental change or notice of redemption, as the case may be.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December 15, 2031, the 2026 Notes are convertible at the option of the holders only under the following circumstances: (1) during any calendar quarter commencing after the calendar quarter ending on June 30, 2026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the notes for each trading day of the measurement period was less than 98% of the product of the last reported sale price of the common stock and the conversion rate on each such trading day; (3) upon the occurrence of specified corporate events; or (4) upon redemption by us. On or after December 15, 2031, until the close of business on the second scheduled trading day immediately preceding March 15, 2032, holders of the notes may convert all or a portion of their notes at any time. Upon conversion, we will pay cash up to the aggregate principal amount of the notes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sinking fund is provided for the 2026 Notes. Subsequent to March 20, 2030 and prior to December 15, 2031, we may redeem for cash all or part of the 2026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However, we may not redeem less than all of the outstanding notes unless at least $100.0 million aggregate principal amount of notes are outstanding and not called for redemption as of the time we send related redemption notices. The redemption price of each note to be redeemed will be the principal amount of such note, plus accrued and unpaid additional interest, if any. Upon the occurrence of a fundamental change (as defined in the indenture governing the 2026 Notes), subject to a limited exception described in the indenture governing the notes, holders may require us to repurchase all or a portion of their notes for cash at a price equal to 100% of the principal amounts of the 2026 Notes plus accrued and unpaid additional interest to, but not including, the fundamental change repurchase date (as defined in the indenture governing the 2026 Notes).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2026 Notes are senior unsecured obligations and rank equally in right of payment with all of our existing and future unsubordinated debt and senior in right of payment to any future debt that is expressly subordinated in right of payment to the notes. The notes will be effectively subordinated to any of our existing and future secured debt to the extent of the assets securing such indebtedness. The notes will be structurally subordinated to all existing debt and any future debt and any other liabilities of our subsidiaries.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Debt Maturities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required minimum principal payments on our debt in aggregate over the next five years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(amount remaining at September 30, 2026)</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805,000</w:t>
            </w:r>
          </w:p>
        </w:tc>
      </w:tr>
      <w:tr>
        <w:trPr>
          <w:trHeight w:val="227"/>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805,000</w:t>
            </w:r>
          </w:p>
        </w:tc>
      </w:tr>
      <w:tr>
        <w:trPr>
          <w:trHeight w:val="251"/>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payments on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1,610,000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tab/>
        <w:t>Derivative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risk management strategy, we use derivative instruments to hedge certain foreign currency and interest rate exposures. Refer to Note 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for additional disclosures on our derivative instruments.</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Relationships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September 30, 2026, a total of 35 contracts were offsetting our exposures from the euro, pound sterling, Indonesian rupiah, Canadian dollar, Australian dollar, and various other currencies, with notional amounts ranging from $111,975 to $25.4 million.</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continue to monitor and assess our interest rate and foreign exchange risk and may institute additional derivative instruments to manage such risk in the future.</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Defined Benefit Pension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offering death and disability, retirement, and special termination benefits for certain of our international employees, primarily in Germany, France, India, and Indonesia. The defined benefit obligation is calculated annually by using the projected unit credit method. The measurement date for the pension plans was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on the Consolidated Balance Sheets consist of:</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3"/>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r>
      <w:tr>
        <w:trPr>
          <w:trHeight w:val="23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Plan assets in other long-term assets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26"/>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pension benefit obligation in wages and benefits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4,376</w:t>
            </w:r>
          </w:p>
        </w:tc>
      </w:tr>
      <w:tr>
        <w:trPr>
          <w:trHeight w:val="227"/>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Long-term portion of pension benefit obligation</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61,998</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benefit obligation,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66,040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benefit cost for our plans include the following components: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60" w:type="dxa"/>
            <w:vAlign w:val="bottom"/>
            <w:tcBorders>
              <w:bottom w:val="single" w:sz="8" w:color="auto"/>
            </w:tcBorders>
          </w:tcPr>
          <w:p>
            <w:pPr>
              <w:spacing w:after="0"/>
              <w:rPr>
                <w:sz w:val="18"/>
                <w:szCs w:val="18"/>
                <w:color w:val="auto"/>
              </w:rPr>
            </w:pPr>
          </w:p>
        </w:tc>
      </w:tr>
      <w:tr>
        <w:trPr>
          <w:trHeight w:val="22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9"/>
                <w:szCs w:val="19"/>
                <w:color w:val="auto"/>
              </w:rPr>
            </w:pPr>
          </w:p>
        </w:tc>
      </w:tr>
      <w:tr>
        <w:trPr>
          <w:trHeight w:val="22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w:t>
            </w:r>
          </w:p>
        </w:tc>
      </w:tr>
      <w:tr>
        <w:trPr>
          <w:trHeight w:val="227"/>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w:t>
            </w:r>
          </w:p>
        </w:tc>
      </w:tr>
      <w:tr>
        <w:trPr>
          <w:trHeight w:val="23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26"/>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actuarial net loss</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226"/>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1,288</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3,674</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3,832</w:t>
            </w:r>
          </w:p>
        </w:tc>
      </w:tr>
      <w:tr>
        <w:trPr>
          <w:trHeight w:val="21"/>
        </w:trPr>
        <w:tc>
          <w:tcPr>
            <w:tcW w:w="4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total other income (expense) on the Consolidated Statements of Operations.</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13,991,273 shares of common stock authorized for issuance subject to stock splits, dividends, and other similar events, and at September 30, 2026, 2,812,196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under the Plan is reduced by (i) one share for every one share subject to a stock option or share appreciation right granted and (ii) 1.7 shares for every one share of common stock that was subject to an award other than an option or share appreciation right.</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award phantom stock units, which are settled in cash upon vesting and accounted for as liability-based awards, with no impact to the shares available for grant.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maintain the Employee Stock Purchase Plan (ESPP), for which 408,726 shares of common stock were available for future issuance at September 30, 2026.</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ESPP activity and stock-based grants other than restricted stock units were not significant for the three and nine months ended September 30, 2026 and 2025.</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and the related tax benefit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47,210</w:t>
            </w:r>
          </w:p>
        </w:tc>
      </w:tr>
      <w:tr>
        <w:trPr>
          <w:trHeight w:val="226"/>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Unrestricted stock awards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Phantom stock units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w:t>
            </w:r>
          </w:p>
        </w:tc>
      </w:tr>
      <w:tr>
        <w:trPr>
          <w:trHeight w:val="226"/>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48,510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51,500</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4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Related tax benefit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11,759</w:t>
            </w:r>
          </w:p>
        </w:tc>
      </w:tr>
      <w:tr>
        <w:trPr>
          <w:trHeight w:val="20"/>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4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80" w:type="dxa"/>
            <w:vAlign w:val="bottom"/>
            <w:vMerge w:val="restart"/>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480" w:type="dxa"/>
            <w:vAlign w:val="bottom"/>
          </w:tcPr>
          <w:p>
            <w:pPr>
              <w:jc w:val="center"/>
              <w:ind w:left="119"/>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144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0" w:type="dxa"/>
            <w:vAlign w:val="bottom"/>
          </w:tcPr>
          <w:p>
            <w:pPr>
              <w:spacing w:after="0"/>
              <w:rPr>
                <w:sz w:val="1"/>
                <w:szCs w:val="1"/>
                <w:color w:val="auto"/>
              </w:rPr>
            </w:pPr>
          </w:p>
        </w:tc>
      </w:tr>
      <w:tr>
        <w:trPr>
          <w:trHeight w:val="214"/>
        </w:trPr>
        <w:tc>
          <w:tcPr>
            <w:tcW w:w="2580" w:type="dxa"/>
            <w:vAlign w:val="bottom"/>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Price per Share</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1280" w:type="dxa"/>
            <w:vAlign w:val="bottom"/>
          </w:tcPr>
          <w:p>
            <w:pPr>
              <w:jc w:val="center"/>
              <w:ind w:left="27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ind w:left="119"/>
              <w:spacing w:after="0"/>
              <w:rPr>
                <w:sz w:val="20"/>
                <w:szCs w:val="20"/>
                <w:color w:val="auto"/>
              </w:rPr>
            </w:pPr>
            <w:r>
              <w:rPr>
                <w:rFonts w:ascii="Times New Roman" w:cs="Times New Roman" w:eastAsia="Times New Roman" w:hAnsi="Times New Roman"/>
                <w:sz w:val="16"/>
                <w:szCs w:val="16"/>
                <w:i w:val="1"/>
                <w:iCs w:val="1"/>
                <w:color w:val="auto"/>
                <w:w w:val="98"/>
              </w:rPr>
              <w:t>Years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64.55</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September 30, 2025</w:t>
            </w:r>
          </w:p>
        </w:tc>
        <w:tc>
          <w:tcPr>
            <w:tcW w:w="12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75.70</w:t>
            </w:r>
          </w:p>
        </w:tc>
        <w:tc>
          <w:tcPr>
            <w:tcW w:w="12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3.3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5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Outstanding, January 1, 2026</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9"/>
                <w:szCs w:val="19"/>
                <w:color w:val="auto"/>
              </w:rPr>
            </w:pP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3.1</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68.66</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September 30, 2026</w:t>
            </w:r>
          </w:p>
        </w:tc>
        <w:tc>
          <w:tcPr>
            <w:tcW w:w="128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auto"/>
            </w:tcBorders>
            <w:shd w:val="clear" w:color="auto" w:fill="CCEEFF"/>
          </w:tcPr>
          <w:p>
            <w:pPr>
              <w:spacing w:after="0"/>
              <w:rPr>
                <w:sz w:val="21"/>
                <w:szCs w:val="21"/>
                <w:color w:val="auto"/>
              </w:rPr>
            </w:pPr>
          </w:p>
        </w:tc>
        <w:tc>
          <w:tcPr>
            <w:tcW w:w="2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September 30, 2026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76.12</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2.4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all stock-based compensation expense related to nonvested stock options has been recognized.</w:t>
      </w: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218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40" w:type="dxa"/>
            <w:vAlign w:val="bottom"/>
          </w:tcPr>
          <w:p>
            <w:pPr>
              <w:spacing w:after="0"/>
              <w:rPr>
                <w:sz w:val="16"/>
                <w:szCs w:val="16"/>
                <w:color w:val="auto"/>
              </w:rPr>
            </w:pPr>
          </w:p>
        </w:tc>
        <w:tc>
          <w:tcPr>
            <w:tcW w:w="1840" w:type="dxa"/>
            <w:vAlign w:val="bottom"/>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fair value</w:t>
            </w:r>
          </w:p>
        </w:tc>
        <w:tc>
          <w:tcPr>
            <w:tcW w:w="2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34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60" w:type="dxa"/>
            <w:vAlign w:val="bottom"/>
            <w:vMerge w:val="continue"/>
          </w:tcPr>
          <w:p>
            <w:pPr>
              <w:spacing w:after="0"/>
              <w:rPr>
                <w:sz w:val="18"/>
                <w:szCs w:val="18"/>
                <w:color w:val="auto"/>
              </w:rPr>
            </w:pPr>
          </w:p>
        </w:tc>
        <w:tc>
          <w:tcPr>
            <w:tcW w:w="21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34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25"/>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2025</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460" w:type="dxa"/>
            <w:vAlign w:val="bottom"/>
            <w:shd w:val="clear" w:color="auto" w:fill="CCEEFF"/>
          </w:tcPr>
          <w:p>
            <w:pPr>
              <w:ind w:left="360"/>
              <w:spacing w:after="0" w:line="233"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55,062</w:t>
            </w:r>
          </w:p>
        </w:tc>
        <w:tc>
          <w:tcPr>
            <w:tcW w:w="0" w:type="dxa"/>
            <w:vAlign w:val="bottom"/>
          </w:tcPr>
          <w:p>
            <w:pPr>
              <w:spacing w:after="0"/>
              <w:rPr>
                <w:sz w:val="1"/>
                <w:szCs w:val="1"/>
                <w:color w:val="auto"/>
              </w:rPr>
            </w:pPr>
          </w:p>
        </w:tc>
      </w:tr>
      <w:tr>
        <w:trPr>
          <w:trHeight w:val="226"/>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September 30, 2025</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2026</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460" w:type="dxa"/>
            <w:vAlign w:val="bottom"/>
            <w:shd w:val="clear" w:color="auto" w:fill="CCEEFF"/>
          </w:tcPr>
          <w:p>
            <w:pPr>
              <w:ind w:left="360"/>
              <w:spacing w:after="0" w:line="233"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53,570</w:t>
            </w:r>
          </w:p>
        </w:tc>
        <w:tc>
          <w:tcPr>
            <w:tcW w:w="0" w:type="dxa"/>
            <w:vAlign w:val="bottom"/>
          </w:tcPr>
          <w:p>
            <w:pPr>
              <w:spacing w:after="0"/>
              <w:rPr>
                <w:sz w:val="1"/>
                <w:szCs w:val="1"/>
                <w:color w:val="auto"/>
              </w:rPr>
            </w:pPr>
          </w:p>
        </w:tc>
      </w:tr>
      <w:tr>
        <w:trPr>
          <w:trHeight w:val="227"/>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93.74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September 30, 2026</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but not released, September 30, 2026</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Shares released is presented as gross shares and does not reflect shares withheld by us for employee payroll tax obligations.</w:t>
      </w:r>
    </w:p>
    <w:p>
      <w:pPr>
        <w:spacing w:after="0" w:line="23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2026, total unrecognized compensation expense on restricted stock units was $51.8 million, which is expected to be recognized over a weighted average period of approximately 1.6 years.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to estimate the fair value of performance-based restricted stock units granted with a service and market condition and the resulting weighted average fair value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3620" w:type="dxa"/>
            <w:vAlign w:val="bottom"/>
            <w:tcBorders>
              <w:bottom w:val="single" w:sz="8" w:color="auto"/>
            </w:tcBorders>
            <w:gridSpan w:val="5"/>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76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40.7 %</w:t>
            </w:r>
          </w:p>
        </w:tc>
      </w:tr>
      <w:tr>
        <w:trPr>
          <w:trHeight w:val="227"/>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3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10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7"/>
        </w:trPr>
        <w:tc>
          <w:tcPr>
            <w:tcW w:w="7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fair value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105.89</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as well as significant unusual or infrequently occurring items that are separately reported, are excluded from the annual effective tax rate.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tax rate for the three and nine months ended September 30, 2026 of 27% and 27% differed from the federal statutory rate of 21% due to the impact of valuation allowances on deferred tax assets, the forecasted mix of earnings in domestic and international jurisdictions, an intra-entity asset transfer, the effect of cross-border tax laws, nondeductible executive compensation, a benefit related to stock-based compensation, tax credits, state taxes, and uncertain tax positions. During the second quarter we completed an intra-entity asset transfer, resulting in an increase in our tax rate compared with the first quarter.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tax rate for the three and nine months ended September 30, 2025 of 27% and 22% differed from the federal statutory rate of 21% and overall was impacted by the effect of valuation allowances on deferred tax assets, the forecasted mix of earnings in domestic and international jurisdictions, the effect of cross-border tax laws, nondeductible executive compensation, a benefit related to stock-based compensation, tax credits, state taxes, and uncertain tax positions.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sweeping legislative package formally titled "An act to provide for reconciliation pursuant to title II of H. Con. Res. 14" (the "Act"), and commonly referred to as the One Big Beautiful Bill Act, was signed into law on July 4, 2025. The legislation included numerous changes to existing tax law that took effect in 2026. There were also changes that were retroactive to the beginning of 2025, including the deductibility of current and previously capitalized domestic research and development costs. These changes did not have a significant impact on our consolidated financial statements.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The resulting legislation in most countries where Itron has significant operations took effect for calendar year 2024. We filed our Global Information Return relating to tax year 2024, which resulted in no material top-up taxes. The OECD released further guidance on January 6, 2026, which included new and revised safe harbor rules, including a new permanent safe harbor, and the framework for a "side-by-side" agreement that would exempt US-based multinational companies from all top-up taxes, other than qualified domestic top-up taxes imposed on subsidiaries in their countries of residence. Enactment through legislation will be required in order for this additional guidance to be effective and is expected to only be effective for years after 2025. These enactments or amendments could adversely affect our tax rate and ultimately result in a negative impact on our operating results and cash flows. Consistent with calculations for calendar years 2024 and 2025, the Company anticipates it will meet the safe harbors in most jurisdictions in 2026, and any remaining top-up tax should be immaterial.</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classify interest expense and penalties related to unrecognized tax benefits and interest income on tax overpayments as components of income tax expense. The net interest and penalties expense recognized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and penalties expense</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1,498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and penalties recognized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4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30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penalties</w:t>
            </w:r>
          </w:p>
        </w:tc>
        <w:tc>
          <w:tcPr>
            <w:tcW w:w="30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bl>
    <w:p>
      <w:pPr>
        <w:spacing w:after="0" w:line="3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Unrecognized tax benefits related to uncertain tax positions and the amount of unrecognized tax benefits that, if recognized, would affect our effective tax rate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4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related to uncertain tax positions</w:t>
            </w:r>
          </w:p>
        </w:tc>
        <w:tc>
          <w:tcPr>
            <w:tcW w:w="5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69,203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68,926</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amount of unrecognized tax benefits that, if recognized, would affect our effective tax rate</w:t>
            </w:r>
          </w:p>
        </w:tc>
        <w:tc>
          <w:tcPr>
            <w:tcW w:w="5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68,913</w:t>
            </w:r>
          </w:p>
        </w:tc>
      </w:tr>
    </w:tbl>
    <w:p>
      <w:pPr>
        <w:spacing w:after="0" w:line="2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September 30, 2026,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income tax returns in various jurisdictions. The material jurisdictions where we are subject to examination include, among others, the United States, Canada, France, Germany, India, Italy, Indonesia, Israel, and the United Kingdom.</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tab/>
        <w:t>Commitments and Contingencies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typically covers the installation phase of a contract and may, on occasion, cover the operations and maintenance phase of outsourcing contracts.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available lines of credit, outstanding standby LOCs, and bonds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3"/>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2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r>
      <w:tr>
        <w:trPr>
          <w:trHeight w:val="233"/>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r>
      <w:tr>
        <w:trPr>
          <w:trHeight w:val="227"/>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(27,684)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(43,824)</w:t>
            </w:r>
          </w:p>
        </w:tc>
      </w:tr>
      <w:tr>
        <w:trPr>
          <w:trHeight w:val="248"/>
        </w:trPr>
        <w:tc>
          <w:tcPr>
            <w:tcW w:w="67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under the multicurrency revolving line of credit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722,316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706,176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51"/>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available for additional standby LOCs under sub-facility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256,176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multicurrency revolving lines of credit with various financial institutions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6"/>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lines of credit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94,049</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98,128</w:t>
            </w:r>
          </w:p>
        </w:tc>
      </w:tr>
      <w:tr>
        <w:trPr>
          <w:trHeight w:val="233"/>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26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(25,815)</w:t>
            </w:r>
          </w:p>
        </w:tc>
      </w:tr>
      <w:tr>
        <w:trPr>
          <w:trHeight w:val="227"/>
        </w:trPr>
        <w:tc>
          <w:tcPr>
            <w:tcW w:w="67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and LOCs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65,567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72,313</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6"/>
        </w:trPr>
        <w:tc>
          <w:tcPr>
            <w:tcW w:w="6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6"/>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Unsecured surety bonds in force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678,730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522,098</w:t>
            </w:r>
          </w:p>
        </w:tc>
      </w:tr>
      <w:tr>
        <w:trPr>
          <w:trHeight w:val="24"/>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any such standby LOC or bond were called, we would be obligated to reimburse the issuer of the standby LOC or bond. As of October 27, 2026, we are not aware of any valid claims against our outstanding standby LOCs or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warranty accrual account activity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22,141</w:t>
            </w:r>
          </w:p>
        </w:tc>
      </w:tr>
      <w:tr>
        <w:trPr>
          <w:trHeight w:val="227"/>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New product warranties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3,424</w:t>
            </w:r>
          </w:p>
        </w:tc>
      </w:tr>
      <w:tr>
        <w:trPr>
          <w:trHeight w:val="232"/>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adjustments and expirations, net</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w:t>
            </w:r>
          </w:p>
        </w:tc>
      </w:tr>
      <w:tr>
        <w:trPr>
          <w:trHeight w:val="227"/>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Claims activity</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(8,272)</w:t>
            </w:r>
          </w:p>
        </w:tc>
      </w:tr>
      <w:tr>
        <w:trPr>
          <w:trHeight w:val="22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20,229</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12,867</w:t>
            </w:r>
          </w:p>
        </w:tc>
      </w:tr>
      <w:tr>
        <w:trPr>
          <w:trHeight w:val="226"/>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warranty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7,362</w:t>
            </w:r>
          </w:p>
        </w:tc>
      </w:tr>
      <w:tr>
        <w:trPr>
          <w:trHeight w:val="20"/>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warranty expense is classified within cost of revenues and consists of new product warranties issued, costs related to insurance and supplier recoveries, other changes and adjustments to warranties, and customer claims.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expense was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warranty expense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1,975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w:t>
            </w:r>
          </w:p>
        </w:tc>
      </w:tr>
    </w:tbl>
    <w:p>
      <w:pPr>
        <w:spacing w:after="0" w:line="30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authorized the issuance of 10 million shares of preferred stock with no par value. In the event of a liquidation, dissolution, or winding up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September 30, 2026 or December 31, 2025.</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22222"/>
        </w:rPr>
        <w:t>On May 6, 2026, the Company's Board of Directors authorized a new share repurchase program of up to $200 million of Itron's common stock over an 18-month period, effective May 8, 2026 (the 2026 Stock Repurchase Program).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No repurchases to date under the 2026 Stock Repurchase Program.</w:t>
      </w:r>
    </w:p>
    <w:p>
      <w:pPr>
        <w:spacing w:after="0" w:line="3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Effective November 10, 2025, Itron's Board of Directors authorized a repurchase up to $250 million of our common stock over an 18-month period (the 2025 Stock Repurchase Program).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w:t>
      </w:r>
      <w:r>
        <w:rPr>
          <w:rFonts w:ascii="Times New Roman" w:cs="Times New Roman" w:eastAsia="Times New Roman" w:hAnsi="Times New Roman"/>
          <w:sz w:val="18"/>
          <w:szCs w:val="18"/>
          <w:color w:val="222222"/>
        </w:rPr>
        <w:t>In February 2026, we repurchased</w:t>
      </w:r>
      <w:r>
        <w:rPr>
          <w:rFonts w:ascii="Times New Roman" w:cs="Times New Roman" w:eastAsia="Times New Roman" w:hAnsi="Times New Roman"/>
          <w:sz w:val="18"/>
          <w:szCs w:val="18"/>
          <w:color w:val="auto"/>
        </w:rPr>
        <w:t xml:space="preserve"> 1,050,309 </w:t>
      </w:r>
      <w:r>
        <w:rPr>
          <w:rFonts w:ascii="Times New Roman" w:cs="Times New Roman" w:eastAsia="Times New Roman" w:hAnsi="Times New Roman"/>
          <w:sz w:val="18"/>
          <w:szCs w:val="18"/>
          <w:color w:val="222222"/>
        </w:rPr>
        <w:t>shares of common stock for a total of</w:t>
      </w:r>
      <w:r>
        <w:rPr>
          <w:rFonts w:ascii="Times New Roman" w:cs="Times New Roman" w:eastAsia="Times New Roman" w:hAnsi="Times New Roman"/>
          <w:sz w:val="18"/>
          <w:szCs w:val="18"/>
          <w:color w:val="auto"/>
        </w:rPr>
        <w:t xml:space="preserve"> $100 million</w:t>
      </w:r>
      <w:r>
        <w:rPr>
          <w:rFonts w:ascii="Times New Roman" w:cs="Times New Roman" w:eastAsia="Times New Roman" w:hAnsi="Times New Roman"/>
          <w:sz w:val="18"/>
          <w:szCs w:val="18"/>
          <w:color w:val="222222"/>
        </w:rPr>
        <w:t>. During the</w:t>
      </w:r>
      <w:r>
        <w:rPr>
          <w:rFonts w:ascii="Times New Roman" w:cs="Times New Roman" w:eastAsia="Times New Roman" w:hAnsi="Times New Roman"/>
          <w:sz w:val="18"/>
          <w:szCs w:val="18"/>
          <w:color w:val="auto"/>
        </w:rPr>
        <w:t xml:space="preserve"> second quarter of 2026, we repurchased 644,188 shares of common stock for a total of $52.2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2021 Call Option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paid an aggregate amount of $84.1 million for the 2021 call option transactions. The 2021 call option transactions covered, subject to anti-dilution adjustments substantially similar to those in the 2021 Notes, approximately 3.7 million shares of our common stock, the same number of shares initially underlying the 2021 Notes, at a strike price of approximately $126.00, subject to customary adjustments. The 2021 call option transactions expired upon the maturity of the 2021 Notes. The 2021 call option transactions met the criteria in ASC 815-40 to be classified within Stockholders' Equity, and therefore were not revalued after their issuance. We made a tax election to integrate the 2021 Notes and the 2021 call option transactions. We retained the identification statements in our books and records, together with a schedule providing the accruals on the synthetic debt instruments. The accounting impact of this tax election made the call options deductible as original issue discount for tax purposes over the term of the 2021 Notes, and resulted in a $20.6 million deferred tax asset recognized through equity.</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Warrant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concurrently with entering into the 2021 call option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represented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began to expire in June 2026. The market value per share of our common stock, as measured under the warrant transactions, did not exceed the strike price of the warrants, and therefore all warrants had an anti-dilutive effect on our earnings per share. The warrants meet the criteria in ASC 815-40 to be classified within Stockholders' Equity, and therefore the warrants were not revalued after issuance. The warrants fully expired October 6, 2026.</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2024 Capped Call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2024 Notes, we entered into privately negotiated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 and is subject to certain adjustments under the terms of the 2024 capped call transactions. The 2024 capped call transactions will expire upon the maturity of the 2024 Notes, subject to earlier exercise or termination.</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2024 Notes and the 2024 capped call transactions. We are retaining the identification statements in our books and records, together with a schedule providing the accruals on the synthetic debt instruments. The accounting impact of this tax election makes the capped call transactions deductible as original issue discount for tax purposes over the term of the 2024 Notes, and results in a $26.7 million deferred tax asset recognized through equity.</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2026 Capped Call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2026 Notes, we entered into privately negotiated capped call transactions on our common stock with certain commercial banks. The 2026 capped call transactions cover, subject to anti-dilution adjustments substantially similar to those in the 2026 Notes, approximately 6.5 million shares of our common stock, the same number of shares initially underlying the convertible notes, at a strike price of approximately $123.77, subject to customary adjustments. The cap price of the 2026 capped call transactions initially is $190.42 per share, which represents a premium of 100% over the last reported stock price per share of the Company's common stock on February 23, 2026, and is subject to certain adjustments under the terms of the 2026 capped call transactions. The 2026 capped call transactions will expire upon the maturity of the 2026 Notes, subject to earlier exercise or termination.</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2026 Notes and the 2026 capped call transactions. We are retaining the identification statements in our books and records, together with a schedule providing the accruals on the synthetic debt instruments. The accounting impact of this tax election makes the capped call transactions deductible as original issue discount for tax purposes over the term of the 2026 Notes, and results in a $22.4 million deferred tax asset recognized through equity.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components of accumulated other comprehensive income (loss) (AOCI), net of tax,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5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4"/>
                <w:szCs w:val="14"/>
                <w:color w:val="auto"/>
              </w:rPr>
            </w:pPr>
          </w:p>
        </w:tc>
        <w:tc>
          <w:tcPr>
            <w:tcW w:w="14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Nonderivative</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Obligation</w:t>
            </w:r>
          </w:p>
        </w:tc>
        <w:tc>
          <w:tcPr>
            <w:tcW w:w="14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3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0" w:type="dxa"/>
            <w:vAlign w:val="bottom"/>
          </w:tcPr>
          <w:p>
            <w:pPr>
              <w:spacing w:after="0"/>
              <w:rPr>
                <w:sz w:val="1"/>
                <w:szCs w:val="1"/>
                <w:color w:val="auto"/>
              </w:rPr>
            </w:pPr>
          </w:p>
        </w:tc>
      </w:tr>
      <w:tr>
        <w:trPr>
          <w:trHeight w:val="222"/>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(97,556)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(109,931)</w:t>
            </w:r>
          </w:p>
        </w:tc>
        <w:tc>
          <w:tcPr>
            <w:tcW w:w="0" w:type="dxa"/>
            <w:vAlign w:val="bottom"/>
          </w:tcPr>
          <w:p>
            <w:pPr>
              <w:spacing w:after="0"/>
              <w:rPr>
                <w:sz w:val="1"/>
                <w:szCs w:val="1"/>
                <w:color w:val="auto"/>
              </w:rPr>
            </w:pPr>
          </w:p>
        </w:tc>
      </w:tr>
      <w:tr>
        <w:trPr>
          <w:trHeight w:val="223"/>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47,171</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47,023</w:t>
            </w:r>
          </w:p>
        </w:tc>
        <w:tc>
          <w:tcPr>
            <w:tcW w:w="0" w:type="dxa"/>
            <w:vAlign w:val="bottom"/>
          </w:tcPr>
          <w:p>
            <w:pPr>
              <w:spacing w:after="0"/>
              <w:rPr>
                <w:sz w:val="1"/>
                <w:szCs w:val="1"/>
                <w:color w:val="auto"/>
              </w:rPr>
            </w:pPr>
          </w:p>
        </w:tc>
      </w:tr>
      <w:tr>
        <w:trPr>
          <w:trHeight w:val="251"/>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September 30, 2025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(56,505)</w:t>
            </w:r>
          </w:p>
        </w:tc>
        <w:tc>
          <w:tcPr>
            <w:tcW w:w="0" w:type="dxa"/>
            <w:vAlign w:val="bottom"/>
          </w:tcPr>
          <w:p>
            <w:pPr>
              <w:spacing w:after="0"/>
              <w:rPr>
                <w:sz w:val="1"/>
                <w:szCs w:val="1"/>
                <w:color w:val="auto"/>
              </w:rPr>
            </w:pPr>
          </w:p>
        </w:tc>
      </w:tr>
      <w:tr>
        <w:trPr>
          <w:trHeight w:val="223"/>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(19,445)</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(19,766)</w:t>
            </w:r>
          </w:p>
        </w:tc>
        <w:tc>
          <w:tcPr>
            <w:tcW w:w="0" w:type="dxa"/>
            <w:vAlign w:val="bottom"/>
          </w:tcPr>
          <w:p>
            <w:pPr>
              <w:spacing w:after="0"/>
              <w:rPr>
                <w:sz w:val="1"/>
                <w:szCs w:val="1"/>
                <w:color w:val="auto"/>
              </w:rPr>
            </w:pPr>
          </w:p>
        </w:tc>
      </w:tr>
      <w:tr>
        <w:trPr>
          <w:trHeight w:val="251"/>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September 30, 2026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(76,271)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income tax (provision) benefit, and net-of-tax amounts related to each component of other comprehensive income (OCI)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Before-tax amount</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47,307</w:t>
            </w:r>
          </w:p>
        </w:tc>
        <w:tc>
          <w:tcPr>
            <w:tcW w:w="0" w:type="dxa"/>
            <w:vAlign w:val="bottom"/>
          </w:tcPr>
          <w:p>
            <w:pPr>
              <w:spacing w:after="0"/>
              <w:rPr>
                <w:sz w:val="1"/>
                <w:szCs w:val="1"/>
                <w:color w:val="auto"/>
              </w:rPr>
            </w:pPr>
          </w:p>
        </w:tc>
      </w:tr>
      <w:tr>
        <w:trPr>
          <w:trHeight w:val="227"/>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260" w:type="dxa"/>
            <w:vAlign w:val="bottom"/>
          </w:tcPr>
          <w:p>
            <w:pPr>
              <w:spacing w:after="0"/>
              <w:rPr>
                <w:sz w:val="19"/>
                <w:szCs w:val="19"/>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26"/>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before tax</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47,124</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Tax (provision) benefit</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26"/>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260" w:type="dxa"/>
            <w:vAlign w:val="bottom"/>
          </w:tcPr>
          <w:p>
            <w:pPr>
              <w:spacing w:after="0"/>
              <w:rPr>
                <w:sz w:val="19"/>
                <w:szCs w:val="19"/>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3"/>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55"/>
        </w:trPr>
        <w:tc>
          <w:tcPr>
            <w:tcW w:w="438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Total other comprehensive income (loss) tax (provision)</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3"/>
                <w:szCs w:val="13"/>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3"/>
                <w:szCs w:val="13"/>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3"/>
                <w:szCs w:val="13"/>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9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2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Net-of-tax amount</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47,163</w:t>
            </w:r>
          </w:p>
        </w:tc>
        <w:tc>
          <w:tcPr>
            <w:tcW w:w="0" w:type="dxa"/>
            <w:vAlign w:val="bottom"/>
          </w:tcPr>
          <w:p>
            <w:pPr>
              <w:spacing w:after="0"/>
              <w:rPr>
                <w:sz w:val="1"/>
                <w:szCs w:val="1"/>
                <w:color w:val="auto"/>
              </w:rPr>
            </w:pPr>
          </w:p>
        </w:tc>
      </w:tr>
      <w:tr>
        <w:trPr>
          <w:trHeight w:val="227"/>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260" w:type="dxa"/>
            <w:vAlign w:val="bottom"/>
          </w:tcPr>
          <w:p>
            <w:pPr>
              <w:spacing w:after="0"/>
              <w:rPr>
                <w:sz w:val="19"/>
                <w:szCs w:val="19"/>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26"/>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47,023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values at September 30, 2026 and December 31, 2025 do not reflect subsequent changes in the economy, interest rates, tax rates, and other variables that may affect the determination of fair value.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w w:val="98"/>
              </w:rPr>
              <w:t>September 30, 2026</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4"/>
                <w:szCs w:val="14"/>
                <w:color w:val="auto"/>
              </w:rPr>
            </w:pPr>
          </w:p>
        </w:tc>
        <w:tc>
          <w:tcPr>
            <w:tcW w:w="2060" w:type="dxa"/>
            <w:vAlign w:val="bottom"/>
            <w:gridSpan w:val="3"/>
          </w:tcPr>
          <w:p>
            <w:pPr>
              <w:jc w:val="center"/>
              <w:ind w:right="1020"/>
              <w:spacing w:after="0" w:line="17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20" w:type="dxa"/>
            <w:vAlign w:val="bottom"/>
            <w:gridSpan w:val="3"/>
          </w:tcPr>
          <w:p>
            <w:pPr>
              <w:jc w:val="center"/>
              <w:ind w:right="1020"/>
              <w:spacing w:after="0" w:line="172"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2060" w:type="dxa"/>
            <w:vAlign w:val="bottom"/>
            <w:gridSpan w:val="3"/>
          </w:tcPr>
          <w:p>
            <w:pPr>
              <w:jc w:val="center"/>
              <w:ind w:right="1020"/>
              <w:spacing w:after="0" w:line="17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20" w:type="dxa"/>
            <w:vAlign w:val="bottom"/>
          </w:tcPr>
          <w:p>
            <w:pPr>
              <w:jc w:val="right"/>
              <w:ind w:right="579"/>
              <w:spacing w:after="0" w:line="172"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3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2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6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2"/>
        </w:trPr>
        <w:tc>
          <w:tcPr>
            <w:tcW w:w="4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3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4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   $</w:t>
            </w:r>
          </w:p>
        </w:tc>
        <w:tc>
          <w:tcPr>
            <w:tcW w:w="206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1,577,039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1,517,852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1,248,327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1,277,442</w:t>
            </w: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fair values: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Due to the liquid nature of these instruments, the carrying amount approximates fair value (Level 1).</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Credit facility - multicurrency revolving line of credit (revolver): </w:t>
      </w:r>
      <w:r>
        <w:rPr>
          <w:rFonts w:ascii="Times New Roman" w:cs="Times New Roman" w:eastAsia="Times New Roman" w:hAnsi="Times New Roman"/>
          <w:sz w:val="18"/>
          <w:szCs w:val="18"/>
          <w:color w:val="auto"/>
        </w:rPr>
        <w:t>The revolver is not traded publicly. When there are amounts borrowed and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which are determined based upon a hypothetical market participant, are calculated using a discounted cash flow model with Level 2 inputs, including estimates of incremental borrowing rates for debt with similar terms, maturities, and credit profiles. Refer to Note 6: Debt for further discussion of our debt.</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The convertible notes are not listed on any securities exchange but may be actively traded. The fair value is estimated using 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as it is based on quoted prices for these instruments in active markets.</w:t>
      </w:r>
    </w:p>
    <w:p>
      <w:pPr>
        <w:spacing w:after="0" w:line="1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operate under the Itron brand worldwide and manage and report under four reportable segments: Device Solutions, Networked Solutions, Outcomes, and Resiliency Solutions. Resiliency Solutions is a new reportable segment starting in the fourth quarter of 2025. We define these segments based on the structure in which internally reported financial information is regularly provided to the chief operating decision maker (CODM) to analyze financial performance, make strategic decisions, and allocate resources. The Company's CODM is the chief executive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Products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Examples from the Device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include: standard endpoints that are shipped without Itron communications, such as our standard electricity, gas, and water meters for a variety of global markets and adhering to regulations and standards within those markets, as well as our heat and allocation products; communicating meters designed to operate outside of Itron end-to-end solutions and designed to meet market requirements; and the implementation and installation of associated devices.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endpoints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network design services, and associated headend management and application software designed and sold as a complete solution for acquiring and transporting robust application-specific data. Networked Solutions includes products, software and services for the implementation, installation, and management of communicating endpoints and data networks. The Industrial Internet of Things (IIoT) solutions supported by this segment include automated meter reading (AMR) and advanced metering infrastructure (AMI) for electricity, water, and gas; distributed energy resource management (DERMs); grid edge devices; distribution automation communications; smart lighting; and smart city sensors and applications. Our IIoT platform allows utility and smart city applications to be run and managed on a flexible, secure, and interoperable multi-purpose network.</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including use of distributed compute to manage, organize,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analyze, and interpret raw, anonymized data using artificial intelligence, machine learning, statistical modeling, and other analytics. This delivers new value for utilities, municipalities, and cities through improving decision making, maximizing operational profitability, engaging consumers, ensuring safety, enhancing resource efficiency, and improving grid resiliency and reliability. Outcomes supports high-value use cases, such as data management, grid planning and operations, AMI operations, gas distribution safety, non-revenue water reduction, revenue assurance, distributed energy resources (DER) management, energy forecasting, consumer engagement, and smart payment. Utilities leverage these outcomes to unlock the capabilities of their networks and devices, improve the productivity of their workforce, increase the reliability of</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their operations, manage and optimize the proliferation of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Resiliency Solutions </w:t>
      </w:r>
      <w:r>
        <w:rPr>
          <w:rFonts w:ascii="Times New Roman" w:cs="Times New Roman" w:eastAsia="Times New Roman" w:hAnsi="Times New Roman"/>
          <w:sz w:val="18"/>
          <w:szCs w:val="18"/>
          <w:color w:val="auto"/>
        </w:rPr>
        <w:t>– This segment primarily includes software and services for worker safety, emergency preparedness and response, damage prevention,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digital construction management for critical infrastructure providers and their supporting contractors. These solutions enable utilities to plan smarter, respond faster, and operate more safely and are enhanced through the use of artificial intelligence-based models to predict events to aid in compliance, incident remedy, and prevention.</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Intersegment revenues are minimal. Certain operating expenses are allocated to the reportable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These amounts are not included in the significant segment expense amounts below. Goodwill impairment charges are recognized in Corporate unallocated. No asset information for reportable segments is provided to the CODM. We do not manage the performance of the segments on a balance sheet basis. Other income (expense) primarily includes interest income, interest expense, and amortization of prepaid debt fees, and is not allocated to our segments.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CODM assesses the segments' performance primarily by using each segment's adjusted operating income, predominantly in the annual budget and periodic forecasting processes. The CODM considers budget-to-actual and forecast-to-actual variances for these measures when making decisions about the allocation of operating and capital resources to each segment, including evaluating pricing strategy. Prior to the fourth quarter of 2025, the CODM used gross margin as the primary segment performance metric. Starting in the fourth quarter of 2025, the CODM believes adjusted segment operating income provides a more complete metric for allocating resources and assessing segment performance in line with our recent business acquisition and exclusion of amortization of core-developed technology.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reportable segments and Corporate unallocated and the reconciliation to income before income taxes was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80" w:type="dxa"/>
            <w:vAlign w:val="bottom"/>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180" w:type="dxa"/>
            <w:vAlign w:val="bottom"/>
          </w:tcPr>
          <w:p>
            <w:pPr>
              <w:spacing w:after="0"/>
              <w:rPr>
                <w:sz w:val="15"/>
                <w:szCs w:val="15"/>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Outcomes</w:t>
            </w:r>
          </w:p>
        </w:tc>
        <w:tc>
          <w:tcPr>
            <w:tcW w:w="180" w:type="dxa"/>
            <w:vAlign w:val="bottom"/>
          </w:tcPr>
          <w:p>
            <w:pPr>
              <w:spacing w:after="0"/>
              <w:rPr>
                <w:sz w:val="15"/>
                <w:szCs w:val="15"/>
                <w:color w:val="auto"/>
              </w:rPr>
            </w:pPr>
          </w:p>
        </w:tc>
        <w:tc>
          <w:tcPr>
            <w:tcW w:w="11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Resiliency</w:t>
            </w:r>
          </w:p>
        </w:tc>
        <w:tc>
          <w:tcPr>
            <w:tcW w:w="260" w:type="dxa"/>
            <w:vAlign w:val="bottom"/>
          </w:tcPr>
          <w:p>
            <w:pPr>
              <w:spacing w:after="0"/>
              <w:rPr>
                <w:sz w:val="15"/>
                <w:szCs w:val="15"/>
                <w:color w:val="auto"/>
              </w:rPr>
            </w:pPr>
          </w:p>
        </w:tc>
        <w:tc>
          <w:tcPr>
            <w:tcW w:w="9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820" w:type="dxa"/>
            <w:vAlign w:val="bottom"/>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revenues</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489,002</w:t>
            </w:r>
          </w:p>
        </w:tc>
        <w:tc>
          <w:tcPr>
            <w:tcW w:w="0" w:type="dxa"/>
            <w:vAlign w:val="bottom"/>
          </w:tcPr>
          <w:p>
            <w:pPr>
              <w:spacing w:after="0"/>
              <w:rPr>
                <w:sz w:val="1"/>
                <w:szCs w:val="1"/>
                <w:color w:val="auto"/>
              </w:rPr>
            </w:pPr>
          </w:p>
        </w:tc>
      </w:tr>
      <w:tr>
        <w:trPr>
          <w:trHeight w:val="227"/>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110,331</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599,333</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Adjusted cost of revenues </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sales, general and administrative</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research and development</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segment operating income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182,312</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Reconciliation of adjusted segment operating income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core-developed technology intangible assets</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0" w:type="dxa"/>
            <w:vAlign w:val="bottom"/>
          </w:tcPr>
          <w:p>
            <w:pPr>
              <w:spacing w:after="0"/>
              <w:rPr>
                <w:sz w:val="1"/>
                <w:szCs w:val="1"/>
                <w:color w:val="auto"/>
              </w:rPr>
            </w:pPr>
          </w:p>
        </w:tc>
      </w:tr>
      <w:tr>
        <w:trPr>
          <w:trHeight w:val="233"/>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(84,254)</w:t>
            </w:r>
          </w:p>
        </w:tc>
        <w:tc>
          <w:tcPr>
            <w:tcW w:w="0" w:type="dxa"/>
            <w:vAlign w:val="bottom"/>
          </w:tcPr>
          <w:p>
            <w:pPr>
              <w:spacing w:after="0"/>
              <w:rPr>
                <w:sz w:val="1"/>
                <w:szCs w:val="1"/>
                <w:color w:val="auto"/>
              </w:rPr>
            </w:pPr>
          </w:p>
        </w:tc>
      </w:tr>
      <w:tr>
        <w:trPr>
          <w:trHeight w:val="226"/>
        </w:trPr>
        <w:tc>
          <w:tcPr>
            <w:tcW w:w="4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0" w:type="dxa"/>
            <w:vAlign w:val="bottom"/>
          </w:tcPr>
          <w:p>
            <w:pPr>
              <w:spacing w:after="0"/>
              <w:rPr>
                <w:sz w:val="1"/>
                <w:szCs w:val="1"/>
                <w:color w:val="auto"/>
              </w:rPr>
            </w:pPr>
          </w:p>
        </w:tc>
      </w:tr>
      <w:tr>
        <w:trPr>
          <w:trHeight w:val="23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income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97,021</w:t>
            </w:r>
          </w:p>
        </w:tc>
        <w:tc>
          <w:tcPr>
            <w:tcW w:w="0" w:type="dxa"/>
            <w:vAlign w:val="bottom"/>
          </w:tcPr>
          <w:p>
            <w:pPr>
              <w:spacing w:after="0"/>
              <w:rPr>
                <w:sz w:val="1"/>
                <w:szCs w:val="1"/>
                <w:color w:val="auto"/>
              </w:rPr>
            </w:pPr>
          </w:p>
        </w:tc>
      </w:tr>
    </w:tbl>
    <w:p>
      <w:pPr>
        <w:ind w:left="160" w:hanging="134"/>
        <w:spacing w:after="0" w:line="236" w:lineRule="auto"/>
        <w:tabs>
          <w:tab w:leader="none" w:pos="16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Excludes amortization of core-developed technology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-113030</wp:posOffset>
            </wp:positionV>
            <wp:extent cx="763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180" w:type="dxa"/>
            <w:vAlign w:val="bottom"/>
          </w:tcPr>
          <w:p>
            <w:pPr>
              <w:spacing w:after="0"/>
              <w:rPr>
                <w:sz w:val="14"/>
                <w:szCs w:val="14"/>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Outcomes</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line="172" w:lineRule="exact"/>
              <w:rPr>
                <w:sz w:val="20"/>
                <w:szCs w:val="20"/>
                <w:color w:val="auto"/>
              </w:rPr>
            </w:pPr>
            <w:r>
              <w:rPr>
                <w:rFonts w:ascii="Times New Roman" w:cs="Times New Roman" w:eastAsia="Times New Roman" w:hAnsi="Times New Roman"/>
                <w:sz w:val="16"/>
                <w:szCs w:val="16"/>
                <w:b w:val="1"/>
                <w:bCs w:val="1"/>
                <w:color w:val="auto"/>
              </w:rPr>
              <w:t>Resiliency</w:t>
            </w:r>
          </w:p>
        </w:tc>
        <w:tc>
          <w:tcPr>
            <w:tcW w:w="260" w:type="dxa"/>
            <w:vAlign w:val="bottom"/>
          </w:tcPr>
          <w:p>
            <w:pPr>
              <w:spacing w:after="0"/>
              <w:rPr>
                <w:sz w:val="14"/>
                <w:szCs w:val="14"/>
                <w:color w:val="auto"/>
              </w:rPr>
            </w:pPr>
          </w:p>
        </w:tc>
        <w:tc>
          <w:tcPr>
            <w:tcW w:w="9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820" w:type="dxa"/>
            <w:vAlign w:val="bottom"/>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revenues</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989,929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1,420,265</w:t>
            </w:r>
          </w:p>
        </w:tc>
        <w:tc>
          <w:tcPr>
            <w:tcW w:w="0" w:type="dxa"/>
            <w:vAlign w:val="bottom"/>
          </w:tcPr>
          <w:p>
            <w:pPr>
              <w:spacing w:after="0"/>
              <w:rPr>
                <w:sz w:val="1"/>
                <w:szCs w:val="1"/>
                <w:color w:val="auto"/>
              </w:rPr>
            </w:pPr>
          </w:p>
        </w:tc>
      </w:tr>
      <w:tr>
        <w:trPr>
          <w:trHeight w:val="227"/>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328,952</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1,749,217</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Adjusted cost of revenues </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8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sales, general and administrative</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research and development</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segment operating income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524,526</w:t>
            </w:r>
          </w:p>
        </w:tc>
        <w:tc>
          <w:tcPr>
            <w:tcW w:w="0" w:type="dxa"/>
            <w:vAlign w:val="bottom"/>
          </w:tcPr>
          <w:p>
            <w:pPr>
              <w:spacing w:after="0"/>
              <w:rPr>
                <w:sz w:val="1"/>
                <w:szCs w:val="1"/>
                <w:color w:val="auto"/>
              </w:rPr>
            </w:pPr>
          </w:p>
        </w:tc>
      </w:tr>
      <w:tr>
        <w:trPr>
          <w:trHeight w:val="257"/>
        </w:trPr>
        <w:tc>
          <w:tcPr>
            <w:tcW w:w="4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Reconciliation of adjusted segment operating income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core-developed technology intangible assets</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(7,635)</w:t>
            </w:r>
          </w:p>
        </w:tc>
        <w:tc>
          <w:tcPr>
            <w:tcW w:w="0" w:type="dxa"/>
            <w:vAlign w:val="bottom"/>
          </w:tcPr>
          <w:p>
            <w:pPr>
              <w:spacing w:after="0"/>
              <w:rPr>
                <w:sz w:val="1"/>
                <w:szCs w:val="1"/>
                <w:color w:val="auto"/>
              </w:rPr>
            </w:pPr>
          </w:p>
        </w:tc>
      </w:tr>
      <w:tr>
        <w:trPr>
          <w:trHeight w:val="233"/>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(277,760)</w:t>
            </w:r>
          </w:p>
        </w:tc>
        <w:tc>
          <w:tcPr>
            <w:tcW w:w="0" w:type="dxa"/>
            <w:vAlign w:val="bottom"/>
          </w:tcPr>
          <w:p>
            <w:pPr>
              <w:spacing w:after="0"/>
              <w:rPr>
                <w:sz w:val="1"/>
                <w:szCs w:val="1"/>
                <w:color w:val="auto"/>
              </w:rPr>
            </w:pPr>
          </w:p>
        </w:tc>
      </w:tr>
      <w:tr>
        <w:trPr>
          <w:trHeight w:val="227"/>
        </w:trPr>
        <w:tc>
          <w:tcPr>
            <w:tcW w:w="4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5,291</w:t>
            </w:r>
          </w:p>
        </w:tc>
        <w:tc>
          <w:tcPr>
            <w:tcW w:w="0" w:type="dxa"/>
            <w:vAlign w:val="bottom"/>
          </w:tcPr>
          <w:p>
            <w:pPr>
              <w:spacing w:after="0"/>
              <w:rPr>
                <w:sz w:val="1"/>
                <w:szCs w:val="1"/>
                <w:color w:val="auto"/>
              </w:rPr>
            </w:pPr>
          </w:p>
        </w:tc>
      </w:tr>
      <w:tr>
        <w:trPr>
          <w:trHeight w:val="23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income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244,422</w:t>
            </w:r>
          </w:p>
        </w:tc>
        <w:tc>
          <w:tcPr>
            <w:tcW w:w="0" w:type="dxa"/>
            <w:vAlign w:val="bottom"/>
          </w:tcPr>
          <w:p>
            <w:pPr>
              <w:spacing w:after="0"/>
              <w:rPr>
                <w:sz w:val="1"/>
                <w:szCs w:val="1"/>
                <w:color w:val="auto"/>
              </w:rPr>
            </w:pPr>
          </w:p>
        </w:tc>
      </w:tr>
    </w:tbl>
    <w:p>
      <w:pPr>
        <w:ind w:left="160" w:hanging="134"/>
        <w:spacing w:after="0" w:line="236" w:lineRule="auto"/>
        <w:tabs>
          <w:tab w:leader="none" w:pos="16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Excludes amortization of core-developed technology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-113030</wp:posOffset>
            </wp:positionV>
            <wp:extent cx="7632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40" w:type="dxa"/>
            <w:vAlign w:val="bottom"/>
            <w:gridSpan w:val="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180" w:type="dxa"/>
            <w:vAlign w:val="bottom"/>
          </w:tcPr>
          <w:p>
            <w:pPr>
              <w:spacing w:after="0"/>
              <w:rPr>
                <w:sz w:val="15"/>
                <w:szCs w:val="15"/>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60" w:type="dxa"/>
            <w:vAlign w:val="bottom"/>
          </w:tcPr>
          <w:p>
            <w:pPr>
              <w:spacing w:after="0"/>
              <w:rPr>
                <w:sz w:val="15"/>
                <w:szCs w:val="15"/>
                <w:color w:val="auto"/>
              </w:rPr>
            </w:pPr>
          </w:p>
        </w:tc>
        <w:tc>
          <w:tcPr>
            <w:tcW w:w="9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100" w:type="dxa"/>
            <w:vAlign w:val="bottom"/>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revenues</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494,323</w:t>
            </w:r>
          </w:p>
        </w:tc>
        <w:tc>
          <w:tcPr>
            <w:tcW w:w="0" w:type="dxa"/>
            <w:vAlign w:val="bottom"/>
          </w:tcPr>
          <w:p>
            <w:pPr>
              <w:spacing w:after="0"/>
              <w:rPr>
                <w:sz w:val="1"/>
                <w:szCs w:val="1"/>
                <w:color w:val="auto"/>
              </w:rPr>
            </w:pPr>
          </w:p>
        </w:tc>
      </w:tr>
      <w:tr>
        <w:trPr>
          <w:trHeight w:val="227"/>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87,302</w:t>
            </w:r>
          </w:p>
        </w:tc>
        <w:tc>
          <w:tcPr>
            <w:tcW w:w="0" w:type="dxa"/>
            <w:vAlign w:val="bottom"/>
          </w:tcPr>
          <w:p>
            <w:pPr>
              <w:spacing w:after="0"/>
              <w:rPr>
                <w:sz w:val="1"/>
                <w:szCs w:val="1"/>
                <w:color w:val="auto"/>
              </w:rPr>
            </w:pPr>
          </w:p>
        </w:tc>
      </w:tr>
      <w:tr>
        <w:trPr>
          <w:trHeight w:val="226"/>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581,625</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Adjusted cost of revenues </w:t>
            </w:r>
            <w:r>
              <w:rPr>
                <w:rFonts w:ascii="Times New Roman" w:cs="Times New Roman" w:eastAsia="Times New Roman" w:hAnsi="Times New Roman"/>
                <w:sz w:val="21"/>
                <w:szCs w:val="21"/>
                <w:color w:val="auto"/>
                <w:vertAlign w:val="superscript"/>
              </w:rPr>
              <w:t>(1)</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sales, general and administrative</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research and development</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segment operating income</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163,561</w:t>
            </w: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Reconciliation of adjusted segment operating income</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core-developed technology intangible assets</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(81,778)</w:t>
            </w:r>
          </w:p>
        </w:tc>
        <w:tc>
          <w:tcPr>
            <w:tcW w:w="0" w:type="dxa"/>
            <w:vAlign w:val="bottom"/>
          </w:tcPr>
          <w:p>
            <w:pPr>
              <w:spacing w:after="0"/>
              <w:rPr>
                <w:sz w:val="1"/>
                <w:szCs w:val="1"/>
                <w:color w:val="auto"/>
              </w:rPr>
            </w:pPr>
          </w:p>
        </w:tc>
      </w:tr>
      <w:tr>
        <w:trPr>
          <w:trHeight w:val="227"/>
        </w:trPr>
        <w:tc>
          <w:tcPr>
            <w:tcW w:w="6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8,918</w:t>
            </w:r>
          </w:p>
        </w:tc>
        <w:tc>
          <w:tcPr>
            <w:tcW w:w="0" w:type="dxa"/>
            <w:vAlign w:val="bottom"/>
          </w:tcPr>
          <w:p>
            <w:pPr>
              <w:spacing w:after="0"/>
              <w:rPr>
                <w:sz w:val="1"/>
                <w:szCs w:val="1"/>
                <w:color w:val="auto"/>
              </w:rPr>
            </w:pPr>
          </w:p>
        </w:tc>
      </w:tr>
      <w:tr>
        <w:trPr>
          <w:trHeight w:val="23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income before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90,701</w:t>
            </w:r>
          </w:p>
        </w:tc>
        <w:tc>
          <w:tcPr>
            <w:tcW w:w="0" w:type="dxa"/>
            <w:vAlign w:val="bottom"/>
          </w:tcPr>
          <w:p>
            <w:pPr>
              <w:spacing w:after="0"/>
              <w:rPr>
                <w:sz w:val="1"/>
                <w:szCs w:val="1"/>
                <w:color w:val="auto"/>
              </w:rPr>
            </w:pPr>
          </w:p>
        </w:tc>
      </w:tr>
    </w:tbl>
    <w:p>
      <w:pPr>
        <w:ind w:left="160" w:hanging="134"/>
        <w:spacing w:after="0" w:line="236" w:lineRule="auto"/>
        <w:tabs>
          <w:tab w:leader="none" w:pos="16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Excludes amortization of core-developed technology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-113030</wp:posOffset>
            </wp:positionV>
            <wp:extent cx="7632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9"/>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Device Solutions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180" w:type="dxa"/>
            <w:vAlign w:val="bottom"/>
          </w:tcPr>
          <w:p>
            <w:pPr>
              <w:spacing w:after="0"/>
              <w:rPr>
                <w:sz w:val="14"/>
                <w:szCs w:val="14"/>
                <w:color w:val="auto"/>
              </w:rPr>
            </w:pPr>
          </w:p>
        </w:tc>
        <w:tc>
          <w:tcPr>
            <w:tcW w:w="10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10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revenues</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340,423</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1,119,381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1,534,648</w:t>
            </w:r>
          </w:p>
        </w:tc>
        <w:tc>
          <w:tcPr>
            <w:tcW w:w="0" w:type="dxa"/>
            <w:vAlign w:val="bottom"/>
          </w:tcPr>
          <w:p>
            <w:pPr>
              <w:spacing w:after="0"/>
              <w:rPr>
                <w:sz w:val="1"/>
                <w:szCs w:val="1"/>
                <w:color w:val="auto"/>
              </w:rPr>
            </w:pPr>
          </w:p>
        </w:tc>
      </w:tr>
      <w:tr>
        <w:trPr>
          <w:trHeight w:val="227"/>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173,072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260,889</w:t>
            </w:r>
          </w:p>
        </w:tc>
        <w:tc>
          <w:tcPr>
            <w:tcW w:w="0" w:type="dxa"/>
            <w:vAlign w:val="bottom"/>
          </w:tcPr>
          <w:p>
            <w:pPr>
              <w:spacing w:after="0"/>
              <w:rPr>
                <w:sz w:val="1"/>
                <w:szCs w:val="1"/>
                <w:color w:val="auto"/>
              </w:rPr>
            </w:pPr>
          </w:p>
        </w:tc>
      </w:tr>
      <w:tr>
        <w:trPr>
          <w:trHeight w:val="226"/>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342,253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1,795,537</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Adjusted cost of revenues </w:t>
            </w:r>
            <w:r>
              <w:rPr>
                <w:rFonts w:ascii="Times New Roman" w:cs="Times New Roman" w:eastAsia="Times New Roman" w:hAnsi="Times New Roman"/>
                <w:sz w:val="21"/>
                <w:szCs w:val="21"/>
                <w:color w:val="auto"/>
                <w:vertAlign w:val="superscript"/>
              </w:rPr>
              <w:t>(1)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238,902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744,650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sales, general and administrative</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research and development</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12,695</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80,878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segment operating income</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486,611</w:t>
            </w:r>
          </w:p>
        </w:tc>
        <w:tc>
          <w:tcPr>
            <w:tcW w:w="0" w:type="dxa"/>
            <w:vAlign w:val="bottom"/>
          </w:tcPr>
          <w:p>
            <w:pPr>
              <w:spacing w:after="0"/>
              <w:rPr>
                <w:sz w:val="1"/>
                <w:szCs w:val="1"/>
                <w:color w:val="auto"/>
              </w:rPr>
            </w:pPr>
          </w:p>
        </w:tc>
      </w:tr>
      <w:tr>
        <w:trPr>
          <w:trHeight w:val="256"/>
        </w:trPr>
        <w:tc>
          <w:tcPr>
            <w:tcW w:w="6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Reconciliation of adjusted segment operating income</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core-developed technology intangible assets</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(252,202)</w:t>
            </w:r>
          </w:p>
        </w:tc>
        <w:tc>
          <w:tcPr>
            <w:tcW w:w="0" w:type="dxa"/>
            <w:vAlign w:val="bottom"/>
          </w:tcPr>
          <w:p>
            <w:pPr>
              <w:spacing w:after="0"/>
              <w:rPr>
                <w:sz w:val="1"/>
                <w:szCs w:val="1"/>
                <w:color w:val="auto"/>
              </w:rPr>
            </w:pPr>
          </w:p>
        </w:tc>
      </w:tr>
      <w:tr>
        <w:trPr>
          <w:trHeight w:val="226"/>
        </w:trPr>
        <w:tc>
          <w:tcPr>
            <w:tcW w:w="6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22,053</w:t>
            </w:r>
          </w:p>
        </w:tc>
        <w:tc>
          <w:tcPr>
            <w:tcW w:w="0" w:type="dxa"/>
            <w:vAlign w:val="bottom"/>
          </w:tcPr>
          <w:p>
            <w:pPr>
              <w:spacing w:after="0"/>
              <w:rPr>
                <w:sz w:val="1"/>
                <w:szCs w:val="1"/>
                <w:color w:val="auto"/>
              </w:rPr>
            </w:pPr>
          </w:p>
        </w:tc>
      </w:tr>
      <w:tr>
        <w:trPr>
          <w:trHeight w:val="23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income before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256,462</w:t>
            </w:r>
          </w:p>
        </w:tc>
        <w:tc>
          <w:tcPr>
            <w:tcW w:w="0" w:type="dxa"/>
            <w:vAlign w:val="bottom"/>
          </w:tcPr>
          <w:p>
            <w:pPr>
              <w:spacing w:after="0"/>
              <w:rPr>
                <w:sz w:val="1"/>
                <w:szCs w:val="1"/>
                <w:color w:val="auto"/>
              </w:rPr>
            </w:pPr>
          </w:p>
        </w:tc>
      </w:tr>
    </w:tbl>
    <w:p>
      <w:pPr>
        <w:ind w:left="160" w:hanging="134"/>
        <w:spacing w:after="0" w:line="236" w:lineRule="auto"/>
        <w:tabs>
          <w:tab w:leader="none" w:pos="160"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Excludes amortization of core-developed technology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-113030</wp:posOffset>
            </wp:positionV>
            <wp:extent cx="7632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3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and the nine months ended September 30, 2026, no single customer represented more than 10% of total company revenue. For the three months ended September 30, 2026, one customer represented 10.4% of total company revenue. This revenue is included in both the Networked Solutions and Outcomes reporting segments.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region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and Canada</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1,403,719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1,464,462</w:t>
            </w:r>
          </w:p>
        </w:tc>
      </w:tr>
      <w:tr>
        <w:trPr>
          <w:trHeight w:val="22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250,107</w:t>
            </w:r>
          </w:p>
        </w:tc>
      </w:tr>
      <w:tr>
        <w:trPr>
          <w:trHeight w:val="232"/>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25,728</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28,708</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87,676</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80,968</w:t>
            </w:r>
          </w:p>
        </w:tc>
      </w:tr>
      <w:tr>
        <w:trPr>
          <w:trHeight w:val="220"/>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599,333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581,625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1,749,217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1,795,537</w:t>
            </w:r>
          </w:p>
        </w:tc>
      </w:tr>
      <w:tr>
        <w:trPr>
          <w:trHeight w:val="23"/>
        </w:trPr>
        <w:tc>
          <w:tcPr>
            <w:tcW w:w="4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and amortization expense recognized in cost of revenues is allocated to the reportable segments based upon each segment's use of the assets. All amortization expense recognized in operating expenses is recognized within Corporate unallocated. Depreciation and amortization of intangible assets expense associated with our reportable segments and Corporate unallocated was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6,583</w:t>
            </w:r>
          </w:p>
        </w:tc>
      </w:tr>
      <w:tr>
        <w:trPr>
          <w:trHeight w:val="227"/>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10,532</w:t>
            </w:r>
          </w:p>
        </w:tc>
      </w:tr>
      <w:tr>
        <w:trPr>
          <w:trHeight w:val="23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3,933</w:t>
            </w:r>
          </w:p>
        </w:tc>
      </w:tr>
      <w:tr>
        <w:trPr>
          <w:trHeight w:val="226"/>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Resiliency Solutions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unallocated</w:t>
            </w: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9,210</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27,371</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15,173</w:t>
            </w:r>
          </w:p>
        </w:tc>
      </w:tr>
      <w:tr>
        <w:trPr>
          <w:trHeight w:val="220"/>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55,602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36,221</w:t>
            </w:r>
          </w:p>
        </w:tc>
      </w:tr>
      <w:tr>
        <w:trPr>
          <w:trHeight w:val="24"/>
        </w:trPr>
        <w:tc>
          <w:tcPr>
            <w:tcW w:w="4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net changes in the contract assets and the contract liabilities balances during the period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5"/>
                <w:szCs w:val="15"/>
                <w:color w:val="auto"/>
              </w:rPr>
            </w:pPr>
          </w:p>
        </w:tc>
        <w:tc>
          <w:tcPr>
            <w:tcW w:w="2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Contract Liabilities, Less</w:t>
            </w:r>
          </w:p>
        </w:tc>
        <w:tc>
          <w:tcPr>
            <w:tcW w:w="0" w:type="dxa"/>
            <w:vAlign w:val="bottom"/>
          </w:tcPr>
          <w:p>
            <w:pPr>
              <w:spacing w:after="0"/>
              <w:rPr>
                <w:sz w:val="1"/>
                <w:szCs w:val="1"/>
                <w:color w:val="auto"/>
              </w:rPr>
            </w:pPr>
          </w:p>
        </w:tc>
      </w:tr>
      <w:tr>
        <w:trPr>
          <w:trHeight w:val="214"/>
        </w:trPr>
        <w:tc>
          <w:tcPr>
            <w:tcW w:w="90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0" w:type="dxa"/>
            <w:vAlign w:val="bottom"/>
          </w:tcPr>
          <w:p>
            <w:pPr>
              <w:spacing w:after="0"/>
              <w:rPr>
                <w:sz w:val="1"/>
                <w:szCs w:val="1"/>
                <w:color w:val="auto"/>
              </w:rPr>
            </w:pPr>
          </w:p>
        </w:tc>
      </w:tr>
      <w:tr>
        <w:trPr>
          <w:trHeight w:val="22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151,350</w:t>
            </w:r>
          </w:p>
        </w:tc>
        <w:tc>
          <w:tcPr>
            <w:tcW w:w="0" w:type="dxa"/>
            <w:vAlign w:val="bottom"/>
          </w:tcPr>
          <w:p>
            <w:pPr>
              <w:spacing w:after="0"/>
              <w:rPr>
                <w:sz w:val="1"/>
                <w:szCs w:val="1"/>
                <w:color w:val="auto"/>
              </w:rPr>
            </w:pPr>
          </w:p>
        </w:tc>
      </w:tr>
      <w:tr>
        <w:trPr>
          <w:trHeight w:val="226"/>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due to business combination</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22,442</w:t>
            </w:r>
          </w:p>
        </w:tc>
        <w:tc>
          <w:tcPr>
            <w:tcW w:w="0" w:type="dxa"/>
            <w:vAlign w:val="bottom"/>
          </w:tcPr>
          <w:p>
            <w:pPr>
              <w:spacing w:after="0"/>
              <w:rPr>
                <w:sz w:val="1"/>
                <w:szCs w:val="1"/>
                <w:color w:val="auto"/>
              </w:rPr>
            </w:pPr>
          </w:p>
        </w:tc>
      </w:tr>
      <w:tr>
        <w:trPr>
          <w:trHeight w:val="23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recognized from beginning contract liability</w:t>
            </w:r>
          </w:p>
        </w:tc>
        <w:tc>
          <w:tcPr>
            <w:tcW w:w="160" w:type="dxa"/>
            <w:vAlign w:val="bottom"/>
            <w:shd w:val="clear" w:color="auto" w:fill="CCEEFF"/>
          </w:tcPr>
          <w:p>
            <w:pPr>
              <w:spacing w:after="0"/>
              <w:rPr>
                <w:sz w:val="20"/>
                <w:szCs w:val="20"/>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(128,240)</w:t>
            </w:r>
          </w:p>
        </w:tc>
        <w:tc>
          <w:tcPr>
            <w:tcW w:w="0" w:type="dxa"/>
            <w:vAlign w:val="bottom"/>
          </w:tcPr>
          <w:p>
            <w:pPr>
              <w:spacing w:after="0"/>
              <w:rPr>
                <w:sz w:val="1"/>
                <w:szCs w:val="1"/>
                <w:color w:val="auto"/>
              </w:rPr>
            </w:pPr>
          </w:p>
        </w:tc>
      </w:tr>
      <w:tr>
        <w:trPr>
          <w:trHeight w:val="227"/>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Cumulative catch-up adjustments</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3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Increases due to amounts collected or due</w:t>
            </w:r>
          </w:p>
        </w:tc>
        <w:tc>
          <w:tcPr>
            <w:tcW w:w="160" w:type="dxa"/>
            <w:vAlign w:val="bottom"/>
            <w:shd w:val="clear" w:color="auto" w:fill="CCEEFF"/>
          </w:tcPr>
          <w:p>
            <w:pPr>
              <w:spacing w:after="0"/>
              <w:rPr>
                <w:sz w:val="20"/>
                <w:szCs w:val="20"/>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343,952</w:t>
            </w:r>
          </w:p>
        </w:tc>
        <w:tc>
          <w:tcPr>
            <w:tcW w:w="0" w:type="dxa"/>
            <w:vAlign w:val="bottom"/>
          </w:tcPr>
          <w:p>
            <w:pPr>
              <w:spacing w:after="0"/>
              <w:rPr>
                <w:sz w:val="1"/>
                <w:szCs w:val="1"/>
                <w:color w:val="auto"/>
              </w:rPr>
            </w:pPr>
          </w:p>
        </w:tc>
      </w:tr>
      <w:tr>
        <w:trPr>
          <w:trHeight w:val="226"/>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recognized from current period increases</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(180,802)</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26"/>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September 30, 2026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208,982</w:t>
            </w:r>
          </w:p>
        </w:tc>
        <w:tc>
          <w:tcPr>
            <w:tcW w:w="0" w:type="dxa"/>
            <w:vAlign w:val="bottom"/>
          </w:tcPr>
          <w:p>
            <w:pPr>
              <w:spacing w:after="0"/>
              <w:rPr>
                <w:sz w:val="1"/>
                <w:szCs w:val="1"/>
                <w:color w:val="auto"/>
              </w:rPr>
            </w:pPr>
          </w:p>
        </w:tc>
      </w:tr>
      <w:tr>
        <w:trPr>
          <w:trHeight w:val="21"/>
        </w:trPr>
        <w:tc>
          <w:tcPr>
            <w:tcW w:w="9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 2026, total contract assets were $83.7 million, including $17.2 million in long-term contract assets and total contract liabilities were $235.1 million. On September 30, 2026, total contract assets were $82.1 million, including $17.8 million in long-term contract assets, and total contract liabilities were $291.0 million. The contract assets primarily relate to contracts that include a retention clause and allocations related to contracts with multiple performance obligations. The contract liabilities primarily relate to deferred revenue, such as extended warranty and maintenance agreements. The cumulative catch-up adjustments relate to contract modifications, measure-of-progress changes, and changes in the estimate of the transaction price. Refer to Note 16: Business Combinations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transaction price allocated to remaining performance obligations is not a complete measure of our future revenues because we also receive orders that include customer-requested legal termination rights, often due to the regulatory requirements or other customer policies; however, these rights are not necessarily indicative of an expectation that the customer will terminate the order.</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related to contracts is approximately $0.9 billion for the next 12 months and approximately $0.9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extended warranty period and hardware, which is recognized as units are delivered. The estimate of when remaining performance obligations will be recognized requires significant judgment.</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to obtain a contract and cost to fulfill a contract with a customer</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Refer to Note 14: Segment Information and the Consolidated Statements of Operations for disclosure regarding the disaggregation of revenue into categories, which depict how revenue and cash flows are affected by economic factors. Specifically, our reportable segments and geographical regions, as disclosed, and categories for products, which include hardware and software and services, are presented.</w:t>
      </w:r>
    </w:p>
    <w:p>
      <w:pPr>
        <w:spacing w:after="0" w:line="2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22222"/>
        </w:rPr>
        <w:t>During the fourth quarter of 2025 and the first quarter of 2026, we completed two acquisitions that, individually or in the aggregate, did not have a material impact on our results of operations, financial condition, or cash flows.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222222"/>
        </w:rPr>
        <w:t>Locusview, Ltd.</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22222"/>
        </w:rPr>
        <w:t xml:space="preserve">On January 5, 2026, we completed the acquisition of </w:t>
      </w:r>
      <w:r>
        <w:rPr>
          <w:rFonts w:ascii="Times New Roman" w:cs="Times New Roman" w:eastAsia="Times New Roman" w:hAnsi="Times New Roman"/>
          <w:sz w:val="18"/>
          <w:szCs w:val="18"/>
          <w:color w:val="000000"/>
        </w:rPr>
        <w:t>100%</w:t>
      </w:r>
      <w:r>
        <w:rPr>
          <w:rFonts w:ascii="Times New Roman" w:cs="Times New Roman" w:eastAsia="Times New Roman" w:hAnsi="Times New Roman"/>
          <w:sz w:val="18"/>
          <w:szCs w:val="18"/>
          <w:color w:val="222222"/>
        </w:rPr>
        <w:t xml:space="preserve"> of the outstanding equity of Locusview, Ltd. and subsidiaries (collectively, Locusview) a privately held utility-focused software and services company that is based in the United States and Israel. The acquisition provides value to Itron through the leverage of Locusview's digital construction management solutions to enhance Itron's Resiliency Solutions offerings to its customers. </w:t>
      </w:r>
      <w:r>
        <w:rPr>
          <w:rFonts w:ascii="Times New Roman" w:cs="Times New Roman" w:eastAsia="Times New Roman" w:hAnsi="Times New Roman"/>
          <w:sz w:val="18"/>
          <w:szCs w:val="18"/>
          <w:color w:val="000000"/>
        </w:rPr>
        <w:t>The purchase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price allocated to acquired assets and liabilities was $546.4 million, which was funded through cash on hand.</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the acquisition date, we made certain measurement period adjustments to the preliminary purchase price allocation, which resulted in an increase to goodwill of $367,000.</w:t>
      </w:r>
    </w:p>
    <w:p>
      <w:pPr>
        <w:spacing w:after="0" w:line="2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allocation of the purchase price to acquired assets and liabilities assumed remains preliminary. The areas that remain provisional primarily relate to income taxes and accrued liabilities.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Urbint, Inc.</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3, 2025, we completed the acquisition of 100% of the outstanding equity of Urbint, Inc. (Urbint), a privately held software and services company, based in Florida, serving utilities. The acquisition provides value to Itron through the leverage of Urbint's artificial intelligence (AI)-powered operational resilience solutions to enhance our offerings to our customers. Upon acquisition, Urbint became a wholly owned subsidiary of Itron and operates within the Resiliency Solutions segment. The purchase price allocated to acquired assets and liabilities was $330.6 million, which was funded through cash on hand.</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the acquisition date, we made certain measurement period adjustments to the purchase price allocation, which resulted in a decrease to goodwill of $397,000.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consolidated financial statements and notes included in this report and with the consolidated financial statements and the notes thereto for the fiscal year ended December 31, 2025 filed with the Securities and Exchange Commission (SEC) in our Annual Report on Form 10-K on February 17, 2026 (2025 Annual Report).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Documents we provide to the SEC are available free of charge under the Investors section of our website at </w:t>
      </w:r>
      <w:r>
        <w:rPr>
          <w:rFonts w:ascii="Times New Roman" w:cs="Times New Roman" w:eastAsia="Times New Roman" w:hAnsi="Times New Roman"/>
          <w:sz w:val="18"/>
          <w:szCs w:val="18"/>
          <w:i w:val="1"/>
          <w:iCs w:val="1"/>
          <w:color w:val="auto"/>
        </w:rPr>
        <w:t>www.itron.com</w:t>
      </w:r>
      <w:r>
        <w:rPr>
          <w:rFonts w:ascii="Times New Roman" w:cs="Times New Roman" w:eastAsia="Times New Roman" w:hAnsi="Times New Roman"/>
          <w:sz w:val="18"/>
          <w:szCs w:val="18"/>
          <w:color w:val="auto"/>
        </w:rPr>
        <w:t xml:space="preserve"> as soon as practicable after they are filed with or furnished to the SEC. In addition, these documents are available at the SEC's website (</w:t>
      </w:r>
      <w:r>
        <w:rPr>
          <w:rFonts w:ascii="Times New Roman" w:cs="Times New Roman" w:eastAsia="Times New Roman" w:hAnsi="Times New Roman"/>
          <w:sz w:val="18"/>
          <w:szCs w:val="18"/>
          <w:i w:val="1"/>
          <w:iCs w:val="1"/>
          <w:color w:val="auto"/>
        </w:rPr>
        <w:t>http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Forward-Looking Statements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222222"/>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regulations, tariffs, sanctions, trade policies and retaliatory responses,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2025 Annual Report and other reports on file with the SEC. We undertake no obligation to update or revise any forward-looking statement, whether written or oral.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technology, solutions,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operate under the Itron brand worldwide and manage and report under four reportable segments: Device Solutions, Networked Solutions, Outcomes, and Resiliency Solutions. Resiliency Solutions is a new reportable segment, which began in the fourth quarter of 2025. The product and operating definitions of the four segments are as follows: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Examples from the Device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include: standard endpoints that are shipped without Itron communications, such as our standard electricity, gas, and water meters for a variety of global markets and adhering to regulations and standards within those markets, as well as our heat and allocation products; communicating meters designed to operate outside of Itron end-to-end solutions and designed to meet market requirements; and the implementation and installation of associated devices.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endpoints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network design services, and associated headend management and application software designed and sold as a complete solution for acquiring and transporting robust application-specific data. Networked Solutions includes products, software and services for the implementation, installation, and management of communicating endpoints and data networks. The IIoT solutions supported by this segment include automated meter reading (AMR) and advanced metering infrastructure (AMI) for electricity, water, and gas; distributed energy resource management (DERMs); grid edge devices; distribution automation communications; smart lighting; and smart city sensors and applications. Our IIoT platform allows utility and smart city applications to be run and managed on a flexible, secure, and interoperable multi-purpose network.</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including use of distributed compute to manage, organize,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analyze, and interpret raw, anonymized data using artificial intelligence, machine learning, statistical modeling, and other analytics. This delivers new value for utilities, municipalities, and cities through improving decision making, maximizing operational profitability, engaging consumers, ensuring safety, enhancing resource efficiency, and improving grid resiliency and reliability. Outcomes supports high-value use cases, such as data management, grid planning and operations, AMI operations, gas distribution safety, non-revenue water reduction, revenue assurance, distributed energy resources (DER) management, energy forecasting, consumer engagement, and smart payment. Utilities leverage these outcomes to unlock the capabilities of their networks and devices, improve the productivity of their workforce, increase the reliability of their operations, manage and optimize the proliferation of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Resiliency Solutions </w:t>
      </w:r>
      <w:r>
        <w:rPr>
          <w:rFonts w:ascii="Times New Roman" w:cs="Times New Roman" w:eastAsia="Times New Roman" w:hAnsi="Times New Roman"/>
          <w:sz w:val="18"/>
          <w:szCs w:val="18"/>
          <w:color w:val="auto"/>
        </w:rPr>
        <w:t>– This segment primarily includes software and services for worker safety, emergency preparedness and response, damage prevention,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digital construction management for critical infrastructure providers and their supporting contractors. These solutions enable utilities to plan smarter, respond faster, and operate more safely and are enhanced through the use of artificial intelligence-based models to predict events to aid in compliance, incident remedy, and prevention.</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adjusted operating income (margin) as the primary measure of segment performance. In addition, we believe adjusted gross profit (margin) provides further understanding of our segments' performance. Intersegment revenues are minimal. Certain operating expenses are allocated to the reportable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Measures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adjusted gross profit, adjusted operating income,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our discussions of the operating results below, we may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constant currency</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section below on pages 46-50 for information about these non-GAAP measures and the detailed reconciliation of items that impacted non-GAAP operating expenses, non-GAAP operating income, non-GAAP net income, non-GAAP diluted EPS, adjusted EBITDA, and free cash flow in the periods presented.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Highlights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w:t>
      </w:r>
      <w:r>
        <w:rPr>
          <w:rFonts w:ascii="Times New Roman" w:cs="Times New Roman" w:eastAsia="Times New Roman" w:hAnsi="Times New Roman"/>
          <w:sz w:val="18"/>
          <w:szCs w:val="18"/>
          <w:i w:val="1"/>
          <w:iCs w:val="1"/>
          <w:color w:val="000000"/>
        </w:rPr>
        <w:t>three months ended September 30, 2026 compared with the three months ended September 30, 2025</w:t>
      </w:r>
    </w:p>
    <w:p>
      <w:pPr>
        <w:spacing w:after="0" w:line="65" w:lineRule="exact"/>
        <w:rPr>
          <w:sz w:val="20"/>
          <w:szCs w:val="20"/>
          <w:color w:val="auto"/>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$599.3 million compared with $581.6 million in 2025, an increase of 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Gross margin was </w:t>
      </w:r>
      <w:r>
        <w:rPr>
          <w:rFonts w:ascii="Times New Roman" w:cs="Times New Roman" w:eastAsia="Times New Roman" w:hAnsi="Times New Roman"/>
          <w:sz w:val="18"/>
          <w:szCs w:val="18"/>
          <w:color w:val="000000"/>
        </w:rPr>
        <w:t>40.9%</w:t>
      </w:r>
      <w:r>
        <w:rPr>
          <w:rFonts w:ascii="Times New Roman" w:cs="Times New Roman" w:eastAsia="Times New Roman" w:hAnsi="Times New Roman"/>
          <w:sz w:val="18"/>
          <w:szCs w:val="18"/>
          <w:color w:val="222222"/>
        </w:rPr>
        <w:t>, compared with 37.7% in 2025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increased $11.6 million, or 8%, compared with 2025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Net income attributable to Itron, Inc. was $71.4 million compared with net income of $65.6 million in 2025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GAAP diluted EPS increased by </w:t>
      </w:r>
      <w:r>
        <w:rPr>
          <w:rFonts w:ascii="Times New Roman" w:cs="Times New Roman" w:eastAsia="Times New Roman" w:hAnsi="Times New Roman"/>
          <w:sz w:val="18"/>
          <w:szCs w:val="18"/>
          <w:color w:val="000000"/>
        </w:rPr>
        <w:t>$0.20</w:t>
      </w:r>
      <w:r>
        <w:rPr>
          <w:rFonts w:ascii="Times New Roman" w:cs="Times New Roman" w:eastAsia="Times New Roman" w:hAnsi="Times New Roman"/>
          <w:sz w:val="18"/>
          <w:szCs w:val="18"/>
          <w:color w:val="222222"/>
        </w:rPr>
        <w:t xml:space="preserve"> to $1.61 in 2026</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net income attributable to Itron, Inc. was $86.3 million compared with $71.8 million in 2025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$1.94, an increase of $0.40 compared with 2025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Adjusted EBITDA was $114.5 million compared with $97.2 million in 2025</w:t>
      </w:r>
    </w:p>
    <w:p>
      <w:pPr>
        <w:spacing w:after="0" w:line="63" w:lineRule="exact"/>
        <w:rPr>
          <w:rFonts w:ascii="Times New Roman" w:cs="Times New Roman" w:eastAsia="Times New Roman" w:hAnsi="Times New Roman"/>
          <w:sz w:val="18"/>
          <w:szCs w:val="18"/>
          <w:color w:val="222222"/>
        </w:rPr>
      </w:pPr>
    </w:p>
    <w:p>
      <w:pPr>
        <w:ind w:left="260" w:hanging="171"/>
        <w:spacing w:after="0" w:line="282" w:lineRule="auto"/>
        <w:tabs>
          <w:tab w:leader="none" w:pos="255" w:val="left"/>
        </w:tabs>
        <w:numPr>
          <w:ilvl w:val="0"/>
          <w:numId w:val="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Total backlog was $4.3 billion, and twelve-month backlog was $1.7 billion at </w:t>
      </w:r>
      <w:r>
        <w:rPr>
          <w:rFonts w:ascii="Times New Roman" w:cs="Times New Roman" w:eastAsia="Times New Roman" w:hAnsi="Times New Roman"/>
          <w:sz w:val="18"/>
          <w:szCs w:val="18"/>
          <w:color w:val="000000"/>
        </w:rPr>
        <w:t>September 30, 2026, compared with</w:t>
      </w:r>
      <w:r>
        <w:rPr>
          <w:rFonts w:ascii="Times New Roman" w:cs="Times New Roman" w:eastAsia="Times New Roman" w:hAnsi="Times New Roman"/>
          <w:sz w:val="18"/>
          <w:szCs w:val="18"/>
          <w:color w:val="222222"/>
        </w:rPr>
        <w:t xml:space="preserve"> $4.3 billion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22222"/>
        </w:rPr>
        <w:t xml:space="preserve"> $1.5 billion </w:t>
      </w:r>
      <w:r>
        <w:rPr>
          <w:rFonts w:ascii="Times New Roman" w:cs="Times New Roman" w:eastAsia="Times New Roman" w:hAnsi="Times New Roman"/>
          <w:sz w:val="18"/>
          <w:szCs w:val="18"/>
          <w:color w:val="000000"/>
        </w:rPr>
        <w:t>at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September 30, 2025</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w:t>
      </w:r>
      <w:r>
        <w:rPr>
          <w:rFonts w:ascii="Times New Roman" w:cs="Times New Roman" w:eastAsia="Times New Roman" w:hAnsi="Times New Roman"/>
          <w:sz w:val="18"/>
          <w:szCs w:val="18"/>
          <w:i w:val="1"/>
          <w:iCs w:val="1"/>
          <w:color w:val="000000"/>
        </w:rPr>
        <w:t>nine</w:t>
      </w:r>
      <w:r>
        <w:rPr>
          <w:rFonts w:ascii="Times New Roman" w:cs="Times New Roman" w:eastAsia="Times New Roman" w:hAnsi="Times New Roman"/>
          <w:sz w:val="18"/>
          <w:szCs w:val="18"/>
          <w:i w:val="1"/>
          <w:iCs w:val="1"/>
          <w:color w:val="222222"/>
        </w:rPr>
        <w:t xml:space="preserve"> months ended </w:t>
      </w:r>
      <w:r>
        <w:rPr>
          <w:rFonts w:ascii="Times New Roman" w:cs="Times New Roman" w:eastAsia="Times New Roman" w:hAnsi="Times New Roman"/>
          <w:sz w:val="18"/>
          <w:szCs w:val="18"/>
          <w:i w:val="1"/>
          <w:iCs w:val="1"/>
          <w:color w:val="000000"/>
        </w:rPr>
        <w:t>September 30, 2026 compared with the nine months ended September 30, 2025</w:t>
      </w:r>
    </w:p>
    <w:p>
      <w:pPr>
        <w:spacing w:after="0" w:line="65" w:lineRule="exact"/>
        <w:rPr>
          <w:sz w:val="20"/>
          <w:szCs w:val="20"/>
          <w:color w:val="auto"/>
        </w:rPr>
      </w:pPr>
    </w:p>
    <w:p>
      <w:pPr>
        <w:ind w:left="240" w:hanging="151"/>
        <w:spacing w:after="0"/>
        <w:tabs>
          <w:tab w:leader="none" w:pos="240" w:val="left"/>
        </w:tabs>
        <w:numPr>
          <w:ilvl w:val="0"/>
          <w:numId w:val="10"/>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Revenues were $1.7 billion compared with $1.8 billion in 2025, a decrease of $46.3 million, or </w:t>
      </w:r>
      <w:r>
        <w:rPr>
          <w:rFonts w:ascii="Times New Roman" w:cs="Times New Roman" w:eastAsia="Times New Roman" w:hAnsi="Times New Roman"/>
          <w:sz w:val="18"/>
          <w:szCs w:val="18"/>
          <w:color w:val="000000"/>
        </w:rPr>
        <w:t>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10"/>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Gross margin was </w:t>
      </w:r>
      <w:r>
        <w:rPr>
          <w:rFonts w:ascii="Times New Roman" w:cs="Times New Roman" w:eastAsia="Times New Roman" w:hAnsi="Times New Roman"/>
          <w:sz w:val="18"/>
          <w:szCs w:val="18"/>
          <w:color w:val="000000"/>
        </w:rPr>
        <w:t>40.7%</w:t>
      </w:r>
      <w:r>
        <w:rPr>
          <w:rFonts w:ascii="Times New Roman" w:cs="Times New Roman" w:eastAsia="Times New Roman" w:hAnsi="Times New Roman"/>
          <w:sz w:val="18"/>
          <w:szCs w:val="18"/>
          <w:color w:val="222222"/>
        </w:rPr>
        <w:t xml:space="preserve"> compared with </w:t>
      </w:r>
      <w:r>
        <w:rPr>
          <w:rFonts w:ascii="Times New Roman" w:cs="Times New Roman" w:eastAsia="Times New Roman" w:hAnsi="Times New Roman"/>
          <w:sz w:val="18"/>
          <w:szCs w:val="18"/>
          <w:color w:val="000000"/>
        </w:rPr>
        <w:t>36.8%</w:t>
      </w:r>
      <w:r>
        <w:rPr>
          <w:rFonts w:ascii="Times New Roman" w:cs="Times New Roman" w:eastAsia="Times New Roman" w:hAnsi="Times New Roman"/>
          <w:sz w:val="18"/>
          <w:szCs w:val="18"/>
          <w:color w:val="222222"/>
        </w:rPr>
        <w:t xml:space="preserve"> in 2025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10"/>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increased $46.7 million compared with 2025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10"/>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 xml:space="preserve">Net income attributable to Itron, Inc. was $178.1 million compared with net income of $199.4 million in </w:t>
      </w:r>
      <w:r>
        <w:rPr>
          <w:rFonts w:ascii="Times New Roman" w:cs="Times New Roman" w:eastAsia="Times New Roman" w:hAnsi="Times New Roman"/>
          <w:sz w:val="18"/>
          <w:szCs w:val="18"/>
          <w:color w:val="222222"/>
        </w:rPr>
        <w:t>2025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10"/>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GAAP diluted EPS decreased by $0.33 to $3.97 in 2026</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10"/>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Non-GAAP net income attributable to Itron, Inc. was </w:t>
      </w:r>
      <w:r>
        <w:rPr>
          <w:rFonts w:ascii="Times New Roman" w:cs="Times New Roman" w:eastAsia="Times New Roman" w:hAnsi="Times New Roman"/>
          <w:sz w:val="18"/>
          <w:szCs w:val="18"/>
          <w:color w:val="000000"/>
        </w:rPr>
        <w:t>$224.8 million</w:t>
      </w:r>
      <w:r>
        <w:rPr>
          <w:rFonts w:ascii="Times New Roman" w:cs="Times New Roman" w:eastAsia="Times New Roman" w:hAnsi="Times New Roman"/>
          <w:sz w:val="18"/>
          <w:szCs w:val="18"/>
          <w:color w:val="222222"/>
        </w:rPr>
        <w:t xml:space="preserve"> compared with </w:t>
      </w:r>
      <w:r>
        <w:rPr>
          <w:rFonts w:ascii="Times New Roman" w:cs="Times New Roman" w:eastAsia="Times New Roman" w:hAnsi="Times New Roman"/>
          <w:sz w:val="18"/>
          <w:szCs w:val="18"/>
          <w:color w:val="000000"/>
        </w:rPr>
        <w:t>$217.0 million</w:t>
      </w:r>
      <w:r>
        <w:rPr>
          <w:rFonts w:ascii="Times New Roman" w:cs="Times New Roman" w:eastAsia="Times New Roman" w:hAnsi="Times New Roman"/>
          <w:sz w:val="18"/>
          <w:szCs w:val="18"/>
          <w:color w:val="222222"/>
        </w:rPr>
        <w:t xml:space="preserve"> in 2025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10"/>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$5.01, an increase of $0.33 compared with 2025</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10"/>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 xml:space="preserve">Adjusted EBITDA was $303.3 million compared with $275.0 million in </w:t>
      </w:r>
      <w:r>
        <w:rPr>
          <w:rFonts w:ascii="Times New Roman" w:cs="Times New Roman" w:eastAsia="Times New Roman" w:hAnsi="Times New Roman"/>
          <w:sz w:val="18"/>
          <w:szCs w:val="18"/>
          <w:color w:val="222222"/>
        </w:rPr>
        <w:t>2025</w:t>
      </w:r>
    </w:p>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222222"/>
        </w:rPr>
        <w:t>2026 Convertible Notes</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23, 2026, we closed the sale of $805 million </w:t>
      </w:r>
      <w:r>
        <w:rPr>
          <w:rFonts w:ascii="Times New Roman" w:cs="Times New Roman" w:eastAsia="Times New Roman" w:hAnsi="Times New Roman"/>
          <w:sz w:val="18"/>
          <w:szCs w:val="18"/>
          <w:color w:val="222222"/>
        </w:rPr>
        <w:t>of convertible notes (the 2026 Notes)</w:t>
      </w:r>
      <w:r>
        <w:rPr>
          <w:rFonts w:ascii="Times New Roman" w:cs="Times New Roman" w:eastAsia="Times New Roman" w:hAnsi="Times New Roman"/>
          <w:sz w:val="18"/>
          <w:szCs w:val="18"/>
          <w:color w:val="auto"/>
        </w:rPr>
        <w:t xml:space="preserve"> in a private placement to qualified institutional buyers, resulting in net proceeds to us of $784 million after deducting initial purchasers' discounts of the offering. The 2026 Notes do not bear regular interest, and the principal amount does not accrete. The 2026 Notes mature on March 15, 2032, unless earlier repurchased, redeemed, or converted in accordance with their terms. Refer to Item 1: Financial Statements (Unaudited), Note 6: Debt for further details.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222222"/>
        </w:rPr>
        <w:t>Stock Repurchase Program</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22222"/>
        </w:rPr>
        <w:t>On May 6, 2026, the Company's Board of Directors authorized a new share repurchase program of up to $200 million of Itron's common stock over an 18-month period, effective May 8, 2026 (the 2026 Stock Repurchase Program).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w:t>
      </w:r>
    </w:p>
    <w:p>
      <w:pPr>
        <w:spacing w:after="0" w:line="3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Effective November 10, 2025, Itron's Board of Directors authorized a repurchase up to $250 million of our common stock over an 18-month period (the 2025 Stock Repurchase Program).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w:t>
      </w:r>
      <w:r>
        <w:rPr>
          <w:rFonts w:ascii="Times New Roman" w:cs="Times New Roman" w:eastAsia="Times New Roman" w:hAnsi="Times New Roman"/>
          <w:sz w:val="18"/>
          <w:szCs w:val="18"/>
          <w:color w:val="222222"/>
        </w:rPr>
        <w:t>In February 2026, we repurchased</w:t>
      </w:r>
      <w:r>
        <w:rPr>
          <w:rFonts w:ascii="Times New Roman" w:cs="Times New Roman" w:eastAsia="Times New Roman" w:hAnsi="Times New Roman"/>
          <w:sz w:val="18"/>
          <w:szCs w:val="18"/>
          <w:color w:val="auto"/>
        </w:rPr>
        <w:t xml:space="preserve"> 1,050,309 </w:t>
      </w:r>
      <w:r>
        <w:rPr>
          <w:rFonts w:ascii="Times New Roman" w:cs="Times New Roman" w:eastAsia="Times New Roman" w:hAnsi="Times New Roman"/>
          <w:sz w:val="18"/>
          <w:szCs w:val="18"/>
          <w:color w:val="222222"/>
        </w:rPr>
        <w:t>shares under the 2025 Stock Repurchase Program at an average price of</w:t>
      </w:r>
      <w:r>
        <w:rPr>
          <w:rFonts w:ascii="Times New Roman" w:cs="Times New Roman" w:eastAsia="Times New Roman" w:hAnsi="Times New Roman"/>
          <w:sz w:val="18"/>
          <w:szCs w:val="18"/>
          <w:color w:val="auto"/>
        </w:rPr>
        <w:t xml:space="preserve"> $95.21 </w:t>
      </w:r>
      <w:r>
        <w:rPr>
          <w:rFonts w:ascii="Times New Roman" w:cs="Times New Roman" w:eastAsia="Times New Roman" w:hAnsi="Times New Roman"/>
          <w:sz w:val="18"/>
          <w:szCs w:val="18"/>
          <w:color w:val="222222"/>
        </w:rPr>
        <w:t xml:space="preserve">(excluding commissions) for a total of </w:t>
      </w:r>
      <w:r>
        <w:rPr>
          <w:rFonts w:ascii="Times New Roman" w:cs="Times New Roman" w:eastAsia="Times New Roman" w:hAnsi="Times New Roman"/>
          <w:sz w:val="18"/>
          <w:szCs w:val="18"/>
          <w:color w:val="000000"/>
        </w:rPr>
        <w:t>$100 million</w:t>
      </w:r>
      <w:r>
        <w:rPr>
          <w:rFonts w:ascii="Times New Roman" w:cs="Times New Roman" w:eastAsia="Times New Roman" w:hAnsi="Times New Roman"/>
          <w:sz w:val="18"/>
          <w:szCs w:val="18"/>
          <w:color w:val="222222"/>
        </w:rPr>
        <w:t xml:space="preserve">. This repurchase was completed in conjunction with the sale of the 2026 Notes. During </w:t>
      </w:r>
      <w:r>
        <w:rPr>
          <w:rFonts w:ascii="Times New Roman" w:cs="Times New Roman" w:eastAsia="Times New Roman" w:hAnsi="Times New Roman"/>
          <w:sz w:val="18"/>
          <w:szCs w:val="18"/>
          <w:color w:val="000000"/>
        </w:rPr>
        <w:t>the second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quarter of 2026, we repurchased 644,188 shares under the 2025 Stock Repurchase Program at an average price of $81.07 (excluding commissions) for a total of $52.2 million.</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222222"/>
        </w:rPr>
        <w:t>Business Acquisitions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22222"/>
        </w:rPr>
        <w:t xml:space="preserve">On January 5, 2026, we completed the acquisition of </w:t>
      </w:r>
      <w:r>
        <w:rPr>
          <w:rFonts w:ascii="Times New Roman" w:cs="Times New Roman" w:eastAsia="Times New Roman" w:hAnsi="Times New Roman"/>
          <w:sz w:val="18"/>
          <w:szCs w:val="18"/>
          <w:color w:val="000000"/>
        </w:rPr>
        <w:t>100%</w:t>
      </w:r>
      <w:r>
        <w:rPr>
          <w:rFonts w:ascii="Times New Roman" w:cs="Times New Roman" w:eastAsia="Times New Roman" w:hAnsi="Times New Roman"/>
          <w:sz w:val="18"/>
          <w:szCs w:val="18"/>
          <w:color w:val="222222"/>
        </w:rPr>
        <w:t xml:space="preserve"> of the outstanding equity of Locusview, Ltd. and subsidiaries (collectively, Locusview) a privately held utility-focused software and services company that is based in the United States and Israel. The acquisition provides value to Itron through the leverage of Locusview's digital construction management solutions to enhance Itron's Resiliency Solutions offerings to its customers. </w:t>
      </w:r>
      <w:r>
        <w:rPr>
          <w:rFonts w:ascii="Times New Roman" w:cs="Times New Roman" w:eastAsia="Times New Roman" w:hAnsi="Times New Roman"/>
          <w:sz w:val="18"/>
          <w:szCs w:val="18"/>
          <w:color w:val="000000"/>
        </w:rPr>
        <w:t>The purchase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price allocated to acquired assets and liabilities was $546.4 million, which was funded through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GAAP, Non-GAAP Highlights and Annual Recurring Revenue: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20" w:type="dxa"/>
            <w:vAlign w:val="bottom"/>
          </w:tcPr>
          <w:p>
            <w:pPr>
              <w:spacing w:after="0"/>
              <w:rPr>
                <w:sz w:val="19"/>
                <w:szCs w:val="19"/>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i w:val="1"/>
                <w:iCs w:val="1"/>
                <w:color w:val="auto"/>
              </w:rPr>
              <w:t>In thousands, except margin and per share data</w:t>
            </w:r>
          </w:p>
        </w:tc>
        <w:tc>
          <w:tcPr>
            <w:tcW w:w="280" w:type="dxa"/>
            <w:vAlign w:val="bottom"/>
          </w:tcPr>
          <w:p>
            <w:pPr>
              <w:spacing w:after="0"/>
              <w:rPr>
                <w:sz w:val="19"/>
                <w:szCs w:val="19"/>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85"/>
        </w:trPr>
        <w:tc>
          <w:tcPr>
            <w:tcW w:w="20" w:type="dxa"/>
            <w:vAlign w:val="bottom"/>
            <w:tcBorders>
              <w:top w:val="single" w:sz="8" w:color="auto"/>
            </w:tcBorders>
          </w:tcPr>
          <w:p>
            <w:pPr>
              <w:spacing w:after="0"/>
              <w:rPr>
                <w:sz w:val="16"/>
                <w:szCs w:val="16"/>
                <w:color w:val="auto"/>
              </w:rPr>
            </w:pPr>
          </w:p>
        </w:tc>
        <w:tc>
          <w:tcPr>
            <w:tcW w:w="37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GAAP</w:t>
            </w: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2"/>
        </w:trPr>
        <w:tc>
          <w:tcPr>
            <w:tcW w:w="20" w:type="dxa"/>
            <w:vAlign w:val="bottom"/>
            <w:shd w:val="clear" w:color="auto" w:fill="CCEEFF"/>
          </w:tcPr>
          <w:p>
            <w:pPr>
              <w:spacing w:after="0"/>
              <w:rPr>
                <w:sz w:val="20"/>
                <w:szCs w:val="20"/>
                <w:color w:val="auto"/>
              </w:rPr>
            </w:pPr>
          </w:p>
        </w:tc>
        <w:tc>
          <w:tcPr>
            <w:tcW w:w="37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Product 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489,002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494,323</w:t>
            </w:r>
          </w:p>
        </w:tc>
        <w:tc>
          <w:tcPr>
            <w:tcW w:w="11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1,420,265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1,534,648</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(7)%</w:t>
            </w:r>
          </w:p>
        </w:tc>
      </w:tr>
      <w:tr>
        <w:trPr>
          <w:trHeight w:val="227"/>
        </w:trPr>
        <w:tc>
          <w:tcPr>
            <w:tcW w:w="20" w:type="dxa"/>
            <w:vAlign w:val="bottom"/>
            <w:tcBorders>
              <w:bottom w:val="single" w:sz="8" w:color="CCEEFF"/>
            </w:tcBorders>
          </w:tcPr>
          <w:p>
            <w:pPr>
              <w:spacing w:after="0"/>
              <w:rPr>
                <w:sz w:val="19"/>
                <w:szCs w:val="19"/>
                <w:color w:val="auto"/>
              </w:rPr>
            </w:pPr>
          </w:p>
        </w:tc>
        <w:tc>
          <w:tcPr>
            <w:tcW w:w="3720" w:type="dxa"/>
            <w:vAlign w:val="bottom"/>
            <w:tcBorders>
              <w:bottom w:val="single" w:sz="8" w:color="CCEEFF"/>
            </w:tcBorders>
            <w:gridSpan w:val="5"/>
          </w:tcPr>
          <w:p>
            <w:pPr>
              <w:ind w:left="200"/>
              <w:spacing w:after="0"/>
              <w:rPr>
                <w:sz w:val="20"/>
                <w:szCs w:val="20"/>
                <w:color w:val="auto"/>
              </w:rPr>
            </w:pPr>
            <w:r>
              <w:rPr>
                <w:rFonts w:ascii="Times New Roman" w:cs="Times New Roman" w:eastAsia="Times New Roman" w:hAnsi="Times New Roman"/>
                <w:sz w:val="16"/>
                <w:szCs w:val="16"/>
                <w:color w:val="auto"/>
              </w:rPr>
              <w:t>Service revenues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110,331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87,302</w:t>
            </w:r>
          </w:p>
        </w:tc>
        <w:tc>
          <w:tcPr>
            <w:tcW w:w="116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328,952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260,889</w:t>
            </w:r>
          </w:p>
        </w:tc>
        <w:tc>
          <w:tcPr>
            <w:tcW w:w="118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26%</w:t>
            </w:r>
          </w:p>
        </w:tc>
      </w:tr>
      <w:tr>
        <w:trPr>
          <w:trHeight w:val="226"/>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599,333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581,625</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1,749,217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1,795,537</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w:t>
            </w:r>
          </w:p>
        </w:tc>
      </w:tr>
      <w:tr>
        <w:trPr>
          <w:trHeight w:val="257"/>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244,870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219,545</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711,829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660,382</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3"/>
              </w:rPr>
              <w:t>8%</w:t>
            </w:r>
          </w:p>
        </w:tc>
      </w:tr>
      <w:tr>
        <w:trPr>
          <w:trHeight w:val="227"/>
        </w:trPr>
        <w:tc>
          <w:tcPr>
            <w:tcW w:w="20" w:type="dxa"/>
            <w:vAlign w:val="bottom"/>
          </w:tcPr>
          <w:p>
            <w:pPr>
              <w:spacing w:after="0"/>
              <w:rPr>
                <w:sz w:val="19"/>
                <w:szCs w:val="19"/>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149,382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137,762</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472,698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425,973</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11%</w:t>
            </w:r>
          </w:p>
        </w:tc>
      </w:tr>
      <w:tr>
        <w:trPr>
          <w:trHeight w:val="232"/>
        </w:trPr>
        <w:tc>
          <w:tcPr>
            <w:tcW w:w="20" w:type="dxa"/>
            <w:vAlign w:val="bottom"/>
            <w:shd w:val="clear" w:color="auto" w:fill="CCEEFF"/>
          </w:tcPr>
          <w:p>
            <w:pPr>
              <w:spacing w:after="0"/>
              <w:rPr>
                <w:sz w:val="20"/>
                <w:szCs w:val="20"/>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95,488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81,783</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239,131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234,409</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3"/>
              </w:rPr>
              <w:t>2%</w:t>
            </w:r>
          </w:p>
        </w:tc>
      </w:tr>
      <w:tr>
        <w:trPr>
          <w:trHeight w:val="227"/>
        </w:trPr>
        <w:tc>
          <w:tcPr>
            <w:tcW w:w="20" w:type="dxa"/>
            <w:vAlign w:val="bottom"/>
          </w:tcPr>
          <w:p>
            <w:pPr>
              <w:spacing w:after="0"/>
              <w:rPr>
                <w:sz w:val="19"/>
                <w:szCs w:val="19"/>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8,918</w:t>
            </w:r>
          </w:p>
        </w:tc>
        <w:tc>
          <w:tcPr>
            <w:tcW w:w="11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22,053</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(76)%</w:t>
            </w:r>
          </w:p>
        </w:tc>
      </w:tr>
      <w:tr>
        <w:trPr>
          <w:trHeight w:val="233"/>
        </w:trPr>
        <w:tc>
          <w:tcPr>
            <w:tcW w:w="20" w:type="dxa"/>
            <w:vAlign w:val="bottom"/>
            <w:shd w:val="clear" w:color="auto" w:fill="CCEEFF"/>
          </w:tcPr>
          <w:p>
            <w:pPr>
              <w:spacing w:after="0"/>
              <w:rPr>
                <w:sz w:val="20"/>
                <w:szCs w:val="20"/>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(25,750)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(24,478)</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(66,092)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(56,137)</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5"/>
              </w:rPr>
              <w:t>18%</w:t>
            </w:r>
          </w:p>
        </w:tc>
      </w:tr>
      <w:tr>
        <w:trPr>
          <w:trHeight w:val="227"/>
        </w:trPr>
        <w:tc>
          <w:tcPr>
            <w:tcW w:w="20" w:type="dxa"/>
            <w:vAlign w:val="bottom"/>
          </w:tcPr>
          <w:p>
            <w:pPr>
              <w:spacing w:after="0"/>
              <w:rPr>
                <w:sz w:val="19"/>
                <w:szCs w:val="19"/>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attributable to Itron, Inc.</w:t>
            </w:r>
          </w:p>
        </w:tc>
        <w:tc>
          <w:tcPr>
            <w:tcW w:w="28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71,369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65,613</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178,100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199,427</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(11)%</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3720" w:type="dxa"/>
            <w:vAlign w:val="bottom"/>
            <w:gridSpan w:val="5"/>
          </w:tcPr>
          <w:p>
            <w:pPr>
              <w:spacing w:after="0" w:line="189" w:lineRule="exact"/>
              <w:rPr>
                <w:sz w:val="20"/>
                <w:szCs w:val="20"/>
                <w:color w:val="auto"/>
              </w:rPr>
            </w:pPr>
            <w:r>
              <w:rPr>
                <w:rFonts w:ascii="Times New Roman" w:cs="Times New Roman" w:eastAsia="Times New Roman" w:hAnsi="Times New Roman"/>
                <w:sz w:val="16"/>
                <w:szCs w:val="16"/>
                <w:b w:val="1"/>
                <w:bCs w:val="1"/>
                <w:color w:val="auto"/>
              </w:rPr>
              <w:t>Non-GAAP</w:t>
            </w:r>
            <w:r>
              <w:rPr>
                <w:rFonts w:ascii="Times New Roman" w:cs="Times New Roman" w:eastAsia="Times New Roman" w:hAnsi="Times New Roman"/>
                <w:sz w:val="21"/>
                <w:szCs w:val="21"/>
                <w:b w:val="1"/>
                <w:bCs w:val="1"/>
                <w:color w:val="auto"/>
                <w:vertAlign w:val="superscript"/>
              </w:rPr>
              <w:t>(1)</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140,646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130,319</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439,161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408,661</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3"/>
              </w:rPr>
              <w:t>7%</w:t>
            </w:r>
          </w:p>
        </w:tc>
      </w:tr>
      <w:tr>
        <w:trPr>
          <w:trHeight w:val="227"/>
        </w:trPr>
        <w:tc>
          <w:tcPr>
            <w:tcW w:w="20" w:type="dxa"/>
            <w:vAlign w:val="bottom"/>
          </w:tcPr>
          <w:p>
            <w:pPr>
              <w:spacing w:after="0"/>
              <w:rPr>
                <w:sz w:val="19"/>
                <w:szCs w:val="19"/>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Non-GAAP operating income</w:t>
            </w:r>
          </w:p>
        </w:tc>
        <w:tc>
          <w:tcPr>
            <w:tcW w:w="28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106,794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89,226</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280,303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251,721</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11%</w:t>
            </w:r>
          </w:p>
        </w:tc>
      </w:tr>
      <w:tr>
        <w:trPr>
          <w:trHeight w:val="233"/>
        </w:trPr>
        <w:tc>
          <w:tcPr>
            <w:tcW w:w="20" w:type="dxa"/>
            <w:vAlign w:val="bottom"/>
            <w:shd w:val="clear" w:color="auto" w:fill="CCEEFF"/>
          </w:tcPr>
          <w:p>
            <w:pPr>
              <w:spacing w:after="0"/>
              <w:rPr>
                <w:sz w:val="20"/>
                <w:szCs w:val="20"/>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86,333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71,812</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224,752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217,036</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3"/>
              </w:rPr>
              <w:t>4%</w:t>
            </w:r>
          </w:p>
        </w:tc>
      </w:tr>
      <w:tr>
        <w:trPr>
          <w:trHeight w:val="227"/>
        </w:trPr>
        <w:tc>
          <w:tcPr>
            <w:tcW w:w="20" w:type="dxa"/>
            <w:vAlign w:val="bottom"/>
          </w:tcPr>
          <w:p>
            <w:pPr>
              <w:spacing w:after="0"/>
              <w:rPr>
                <w:sz w:val="19"/>
                <w:szCs w:val="19"/>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114,504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97,248</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303,305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274,978</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10%</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GAAP Margins and EPS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372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Product gross margin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3"/>
        </w:trPr>
        <w:tc>
          <w:tcPr>
            <w:tcW w:w="20" w:type="dxa"/>
            <w:vAlign w:val="bottom"/>
            <w:shd w:val="clear" w:color="auto" w:fill="CCEEFF"/>
          </w:tcPr>
          <w:p>
            <w:pPr>
              <w:spacing w:after="0"/>
              <w:rPr>
                <w:sz w:val="20"/>
                <w:szCs w:val="20"/>
                <w:color w:val="auto"/>
              </w:rPr>
            </w:pPr>
          </w:p>
        </w:tc>
        <w:tc>
          <w:tcPr>
            <w:tcW w:w="37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 gross margin</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50.9 %</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49.4 %</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372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Total gross margin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0"/>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3"/>
        </w:trPr>
        <w:tc>
          <w:tcPr>
            <w:tcW w:w="20" w:type="dxa"/>
            <w:vAlign w:val="bottom"/>
            <w:shd w:val="clear" w:color="auto" w:fill="CCEEFF"/>
          </w:tcPr>
          <w:p>
            <w:pPr>
              <w:spacing w:after="0"/>
              <w:rPr>
                <w:sz w:val="20"/>
                <w:szCs w:val="20"/>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3"/>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3720" w:type="dxa"/>
            <w:vAlign w:val="bottom"/>
            <w:gridSpan w:val="5"/>
          </w:tcPr>
          <w:p>
            <w:pPr>
              <w:spacing w:after="0" w:line="189" w:lineRule="exact"/>
              <w:rPr>
                <w:sz w:val="20"/>
                <w:szCs w:val="20"/>
                <w:color w:val="auto"/>
              </w:rPr>
            </w:pPr>
            <w:r>
              <w:rPr>
                <w:rFonts w:ascii="Times New Roman" w:cs="Times New Roman" w:eastAsia="Times New Roman" w:hAnsi="Times New Roman"/>
                <w:sz w:val="16"/>
                <w:szCs w:val="16"/>
                <w:b w:val="1"/>
                <w:bCs w:val="1"/>
                <w:color w:val="auto"/>
              </w:rPr>
              <w:t xml:space="preserve">Non-GAAP EPS </w:t>
            </w:r>
            <w:r>
              <w:rPr>
                <w:rFonts w:ascii="Times New Roman" w:cs="Times New Roman" w:eastAsia="Times New Roman" w:hAnsi="Times New Roman"/>
                <w:sz w:val="21"/>
                <w:szCs w:val="21"/>
                <w:b w:val="1"/>
                <w:bCs w:val="1"/>
                <w:color w:val="auto"/>
                <w:vertAlign w:val="superscript"/>
              </w:rPr>
              <w:t>(1)</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EPS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bl>
    <w:p>
      <w:pPr>
        <w:spacing w:after="0" w:line="135" w:lineRule="exact"/>
        <w:rPr>
          <w:sz w:val="20"/>
          <w:szCs w:val="20"/>
          <w:color w:val="auto"/>
        </w:rPr>
      </w:pPr>
    </w:p>
    <w:p>
      <w:pPr>
        <w:ind w:left="340" w:right="20" w:hanging="332"/>
        <w:spacing w:after="0" w:line="225"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measures exclude certain expenses that we do not believe are indicative of our core operating results. See pages 46-50 for information about these non-GAAP measures and reconciliations to the most comparable GAAP measures.</w:t>
      </w:r>
    </w:p>
    <w:p>
      <w:pPr>
        <w:spacing w:after="0" w:line="218"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Effective with our 2025 Annual Report, we transitioned our reported performance metric below from endpoints under management to annual recurring revenue (ARR). ARR is not evenly distributed across endpoints under management, and this change is intended to provide a more accurate and transparent view of our ongoing operations by highlighting predictable,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revenue streams.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ARR is a widely recognized indicator of long-term financial stability and growth and offers improved comparability, transparency, and insight into revenue sustainability. Endpoints under management does not reflect the flexibility afforded to our customers to deploy multiple applications, services, outcomes, and higher margin recurring offerings that can be associated with an endpoint over its useful life. The adoption of ARR better reflects the value of ongoing customer relationships across all of our solutions, including those offered by our new Resiliency Solutions segment.</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Definition of Annual Recurring Revenue</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ARR is an operating metric and represents an annualized calculation of quarterly recurring revenue. This metric primarily includes subscription and maintenance revenues (see examples of ARR components below). ARR should be viewed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independently of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deferred revenue</w:t>
      </w:r>
      <w:r>
        <w:rPr>
          <w:rFonts w:ascii="Times New Roman" w:cs="Times New Roman" w:eastAsia="Times New Roman" w:hAnsi="Times New Roman"/>
          <w:sz w:val="18"/>
          <w:szCs w:val="18"/>
          <w:color w:val="auto"/>
        </w:rPr>
        <w:t xml:space="preserve"> as ARR is an operating metric and is not intended to be combined with or replace these items. ARR is not a forecast of future revenue, which can be impacted by contract start and end dates, cancellation and renewal rates, upgrades or downgrades, foreign exchange rate fluctuations, acquisitions or divestitures, and does not include revenue from appliance hardware, perpetual software, or professional services. Our calculation of ARR does not give effect to the impact of any anticipated future price increases or decreases. We consider ARR a useful measure of the value of the recurring components of our business because it reflects both our ability to attract new customers for our solutions and our success at retaining and expanding our relationships with existing customers. Our measure of ARR may be different than similarly titled metrics used by other companies.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00" w:type="dxa"/>
            <w:vAlign w:val="bottom"/>
            <w:tcBorders>
              <w:bottom w:val="single" w:sz="8" w:color="auto"/>
            </w:tcBorders>
          </w:tcPr>
          <w:p>
            <w:pPr>
              <w:spacing w:after="0"/>
              <w:rPr>
                <w:sz w:val="18"/>
                <w:szCs w:val="18"/>
                <w:color w:val="auto"/>
              </w:rPr>
            </w:pPr>
          </w:p>
        </w:tc>
      </w:tr>
      <w:tr>
        <w:trPr>
          <w:trHeight w:val="226"/>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9"/>
                <w:szCs w:val="19"/>
                <w:color w:val="auto"/>
              </w:rPr>
            </w:pPr>
          </w:p>
        </w:tc>
      </w:tr>
      <w:tr>
        <w:trPr>
          <w:trHeight w:val="23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Annual recurring revenue</w:t>
            </w:r>
          </w:p>
        </w:tc>
        <w:tc>
          <w:tcPr>
            <w:tcW w:w="114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 component examples:</w:t>
      </w:r>
    </w:p>
    <w:p>
      <w:pPr>
        <w:spacing w:after="0" w:line="27" w:lineRule="exact"/>
        <w:rPr>
          <w:sz w:val="20"/>
          <w:szCs w:val="20"/>
          <w:color w:val="auto"/>
        </w:rPr>
      </w:pPr>
    </w:p>
    <w:p>
      <w:pPr>
        <w:ind w:left="240" w:hanging="151"/>
        <w:spacing w:after="0"/>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su</w:t>
      </w:r>
      <w:r>
        <w:rPr>
          <w:rFonts w:ascii="Times New Roman" w:cs="Times New Roman" w:eastAsia="Times New Roman" w:hAnsi="Times New Roman"/>
          <w:sz w:val="18"/>
          <w:szCs w:val="18"/>
          <w:color w:val="000000"/>
        </w:rPr>
        <w:t>bscription-based SaaS contracts</w:t>
      </w:r>
    </w:p>
    <w:p>
      <w:pPr>
        <w:spacing w:after="0" w:line="44" w:lineRule="exact"/>
        <w:rPr>
          <w:rFonts w:ascii="Times New Roman" w:cs="Times New Roman" w:eastAsia="Times New Roman" w:hAnsi="Times New Roman"/>
          <w:sz w:val="18"/>
          <w:szCs w:val="18"/>
          <w:color w:val="auto"/>
        </w:rPr>
      </w:pPr>
    </w:p>
    <w:p>
      <w:pPr>
        <w:ind w:left="240" w:hanging="151"/>
        <w:spacing w:after="0"/>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term-based subscription license contracts</w:t>
      </w:r>
    </w:p>
    <w:p>
      <w:pPr>
        <w:spacing w:after="0" w:line="63" w:lineRule="exact"/>
        <w:rPr>
          <w:rFonts w:ascii="Times New Roman" w:cs="Times New Roman" w:eastAsia="Times New Roman" w:hAnsi="Times New Roman"/>
          <w:sz w:val="18"/>
          <w:szCs w:val="18"/>
          <w:color w:val="auto"/>
        </w:rPr>
      </w:pPr>
    </w:p>
    <w:p>
      <w:pPr>
        <w:ind w:left="240" w:hanging="151"/>
        <w:spacing w:after="0"/>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services subscriptions</w:t>
      </w:r>
    </w:p>
    <w:p>
      <w:pPr>
        <w:spacing w:after="0" w:line="63" w:lineRule="exact"/>
        <w:rPr>
          <w:rFonts w:ascii="Times New Roman" w:cs="Times New Roman" w:eastAsia="Times New Roman" w:hAnsi="Times New Roman"/>
          <w:sz w:val="18"/>
          <w:szCs w:val="18"/>
          <w:color w:val="auto"/>
        </w:rPr>
      </w:pPr>
    </w:p>
    <w:p>
      <w:pPr>
        <w:ind w:left="240" w:hanging="151"/>
        <w:spacing w:after="0"/>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or other support contracts</w:t>
      </w:r>
    </w:p>
    <w:p>
      <w:pPr>
        <w:spacing w:after="0" w:line="63" w:lineRule="exact"/>
        <w:rPr>
          <w:rFonts w:ascii="Times New Roman" w:cs="Times New Roman" w:eastAsia="Times New Roman" w:hAnsi="Times New Roman"/>
          <w:sz w:val="18"/>
          <w:szCs w:val="18"/>
          <w:color w:val="auto"/>
        </w:rPr>
      </w:pPr>
    </w:p>
    <w:p>
      <w:pPr>
        <w:ind w:left="240" w:hanging="151"/>
        <w:spacing w:after="0"/>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subscriptions (platform-as-a-service)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revenues and gross profit were as follows: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599,333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581,625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18,425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rPr>
              <w:t>17,708</w:t>
            </w:r>
          </w:p>
        </w:tc>
        <w:tc>
          <w:tcPr>
            <w:tcW w:w="0" w:type="dxa"/>
            <w:vAlign w:val="bottom"/>
          </w:tcPr>
          <w:p>
            <w:pPr>
              <w:spacing w:after="0"/>
              <w:rPr>
                <w:sz w:val="1"/>
                <w:szCs w:val="1"/>
                <w:color w:val="auto"/>
              </w:rPr>
            </w:pPr>
          </w:p>
        </w:tc>
      </w:tr>
      <w:tr>
        <w:trPr>
          <w:trHeight w:val="22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left="579"/>
              <w:spacing w:after="0"/>
              <w:rPr>
                <w:sz w:val="20"/>
                <w:szCs w:val="20"/>
                <w:color w:val="auto"/>
              </w:rPr>
            </w:pPr>
            <w:r>
              <w:rPr>
                <w:rFonts w:ascii="Times New Roman" w:cs="Times New Roman" w:eastAsia="Times New Roman" w:hAnsi="Times New Roman"/>
                <w:sz w:val="16"/>
                <w:szCs w:val="16"/>
                <w:color w:val="auto"/>
                <w:w w:val="99"/>
              </w:rPr>
              <w:t>25,413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center"/>
              <w:ind w:left="659"/>
              <w:spacing w:after="0"/>
              <w:rPr>
                <w:sz w:val="20"/>
                <w:szCs w:val="20"/>
                <w:color w:val="auto"/>
              </w:rPr>
            </w:pPr>
            <w:r>
              <w:rPr>
                <w:rFonts w:ascii="Times New Roman" w:cs="Times New Roman" w:eastAsia="Times New Roman" w:hAnsi="Times New Roman"/>
                <w:sz w:val="16"/>
                <w:szCs w:val="16"/>
                <w:color w:val="auto"/>
              </w:rPr>
              <w:t>25,325</w:t>
            </w:r>
          </w:p>
        </w:tc>
        <w:tc>
          <w:tcPr>
            <w:tcW w:w="0" w:type="dxa"/>
            <w:vAlign w:val="bottom"/>
          </w:tcPr>
          <w:p>
            <w:pPr>
              <w:spacing w:after="0"/>
              <w:rPr>
                <w:sz w:val="1"/>
                <w:szCs w:val="1"/>
                <w:color w:val="auto"/>
              </w:rPr>
            </w:pPr>
          </w:p>
        </w:tc>
      </w:tr>
      <w:tr>
        <w:trPr>
          <w:trHeight w:val="789"/>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1,749,217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1,795,537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ind w:left="539"/>
              <w:spacing w:after="0"/>
              <w:rPr>
                <w:sz w:val="20"/>
                <w:szCs w:val="20"/>
                <w:color w:val="auto"/>
              </w:rPr>
            </w:pPr>
            <w:r>
              <w:rPr>
                <w:rFonts w:ascii="Times New Roman" w:cs="Times New Roman" w:eastAsia="Times New Roman" w:hAnsi="Times New Roman"/>
                <w:sz w:val="16"/>
                <w:szCs w:val="16"/>
                <w:color w:val="auto"/>
              </w:rPr>
              <w:t>(62,521)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color w:val="auto"/>
              </w:rPr>
              <w:t>(46,320)</w:t>
            </w:r>
          </w:p>
        </w:tc>
        <w:tc>
          <w:tcPr>
            <w:tcW w:w="0" w:type="dxa"/>
            <w:vAlign w:val="bottom"/>
          </w:tcPr>
          <w:p>
            <w:pPr>
              <w:spacing w:after="0"/>
              <w:rPr>
                <w:sz w:val="1"/>
                <w:szCs w:val="1"/>
                <w:color w:val="auto"/>
              </w:rPr>
            </w:pPr>
          </w:p>
        </w:tc>
      </w:tr>
      <w:tr>
        <w:trPr>
          <w:trHeight w:val="22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711,829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660,382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left="579"/>
              <w:spacing w:after="0"/>
              <w:rPr>
                <w:sz w:val="20"/>
                <w:szCs w:val="20"/>
                <w:color w:val="auto"/>
              </w:rPr>
            </w:pPr>
            <w:r>
              <w:rPr>
                <w:rFonts w:ascii="Times New Roman" w:cs="Times New Roman" w:eastAsia="Times New Roman" w:hAnsi="Times New Roman"/>
                <w:sz w:val="16"/>
                <w:szCs w:val="16"/>
                <w:color w:val="auto"/>
                <w:w w:val="99"/>
              </w:rPr>
              <w:t>47,491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center"/>
              <w:ind w:left="659"/>
              <w:spacing w:after="0"/>
              <w:rPr>
                <w:sz w:val="20"/>
                <w:szCs w:val="20"/>
                <w:color w:val="auto"/>
              </w:rPr>
            </w:pPr>
            <w:r>
              <w:rPr>
                <w:rFonts w:ascii="Times New Roman" w:cs="Times New Roman" w:eastAsia="Times New Roman" w:hAnsi="Times New Roman"/>
                <w:sz w:val="16"/>
                <w:szCs w:val="16"/>
                <w:color w:val="auto"/>
              </w:rPr>
              <w:t>51,447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2026 vs. Three months ended September 30, 2025</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increased $17.7 million, or 3%, in the current 2026 quarter, compared with the same period in 2025. Product revenues decreased by $5.3 million, and service revenues increased by $23.0 million. Device Solutions decreased by $2.1 million; Networked Solutions decreased by $4.2 million; and Outcomes increased by $7.9 million when compared with the same period last year. Resiliency Solutions provided revenues of $16.1 million for the period. Changes in exchange rates unfavorably impacted total revenues by $0.7 million, and $0.8 million unfavorably impacted Device Solutions.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2026 vs. Nine months ended September 30, 2025</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22222"/>
        </w:rPr>
        <w:t xml:space="preserve">Total revenues decreased $46.3 million compared with the same period in </w:t>
      </w:r>
      <w:r>
        <w:rPr>
          <w:rFonts w:ascii="Times New Roman" w:cs="Times New Roman" w:eastAsia="Times New Roman" w:hAnsi="Times New Roman"/>
          <w:sz w:val="18"/>
          <w:szCs w:val="18"/>
          <w:color w:val="000000"/>
        </w:rPr>
        <w:t>2025. Product revenues decreased by $114.4 million, and service revenues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increased by $68.1 million. </w:t>
      </w:r>
      <w:r>
        <w:rPr>
          <w:rFonts w:ascii="Times New Roman" w:cs="Times New Roman" w:eastAsia="Times New Roman" w:hAnsi="Times New Roman"/>
          <w:sz w:val="18"/>
          <w:szCs w:val="18"/>
          <w:color w:val="222222"/>
        </w:rPr>
        <w:t>Device Solutions decreased by $4.9 million; Networked Solutions decreased by</w:t>
      </w:r>
      <w:r>
        <w:rPr>
          <w:rFonts w:ascii="Times New Roman" w:cs="Times New Roman" w:eastAsia="Times New Roman" w:hAnsi="Times New Roman"/>
          <w:sz w:val="18"/>
          <w:szCs w:val="18"/>
          <w:color w:val="000000"/>
        </w:rPr>
        <w:t xml:space="preserve"> $126.0 million</w:t>
      </w:r>
      <w:r>
        <w:rPr>
          <w:rFonts w:ascii="Times New Roman" w:cs="Times New Roman" w:eastAsia="Times New Roman" w:hAnsi="Times New Roman"/>
          <w:sz w:val="18"/>
          <w:szCs w:val="18"/>
          <w:color w:val="222222"/>
        </w:rPr>
        <w:t>; and Outcomes increased by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$36.6 million when compared with the same period last year. Resiliency Solutions provided revenues of $47.9 million during the period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22222"/>
        </w:rPr>
        <w:t xml:space="preserve"> C</w:t>
      </w:r>
      <w:r>
        <w:rPr>
          <w:rFonts w:ascii="Times New Roman" w:cs="Times New Roman" w:eastAsia="Times New Roman" w:hAnsi="Times New Roman"/>
          <w:sz w:val="18"/>
          <w:szCs w:val="18"/>
          <w:color w:val="000000"/>
        </w:rPr>
        <w:t>hanges in</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exchange rates favorably impacted total revenues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color w:val="222222"/>
        </w:rPr>
        <w:t>$16.2 million, of which $11.3 million favorably impacted Device Solutions, $2.9 million favorably impacted Networked Solutions, and $2.0 million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favorably impacted Outcomes.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2026 vs. Three months ended September 30,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222222"/>
        </w:rPr>
        <w:t xml:space="preserve">Gross margin in the </w:t>
      </w:r>
      <w:r>
        <w:rPr>
          <w:rFonts w:ascii="Times New Roman" w:cs="Times New Roman" w:eastAsia="Times New Roman" w:hAnsi="Times New Roman"/>
          <w:sz w:val="18"/>
          <w:szCs w:val="18"/>
          <w:color w:val="000000"/>
        </w:rPr>
        <w:t>2026</w:t>
      </w:r>
      <w:r>
        <w:rPr>
          <w:rFonts w:ascii="Times New Roman" w:cs="Times New Roman" w:eastAsia="Times New Roman" w:hAnsi="Times New Roman"/>
          <w:sz w:val="18"/>
          <w:szCs w:val="18"/>
          <w:color w:val="222222"/>
        </w:rPr>
        <w:t xml:space="preserve"> period was 40.9%, compared with 37.7% in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22222"/>
        </w:rPr>
        <w:t xml:space="preserve">. Product sales gross margin increased to 38.1% for the quarter in </w:t>
      </w:r>
      <w:r>
        <w:rPr>
          <w:rFonts w:ascii="Times New Roman" w:cs="Times New Roman" w:eastAsia="Times New Roman" w:hAnsi="Times New Roman"/>
          <w:sz w:val="18"/>
          <w:szCs w:val="18"/>
          <w:color w:val="000000"/>
        </w:rPr>
        <w:t>2026</w:t>
      </w:r>
      <w:r>
        <w:rPr>
          <w:rFonts w:ascii="Times New Roman" w:cs="Times New Roman" w:eastAsia="Times New Roman" w:hAnsi="Times New Roman"/>
          <w:sz w:val="18"/>
          <w:szCs w:val="18"/>
          <w:color w:val="222222"/>
        </w:rPr>
        <w:t xml:space="preserve">, compared with 35.4% in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22222"/>
        </w:rPr>
        <w:t xml:space="preserve">. Gross margin on service revenues increased to 53.2% in </w:t>
      </w:r>
      <w:r>
        <w:rPr>
          <w:rFonts w:ascii="Times New Roman" w:cs="Times New Roman" w:eastAsia="Times New Roman" w:hAnsi="Times New Roman"/>
          <w:sz w:val="18"/>
          <w:szCs w:val="18"/>
          <w:color w:val="000000"/>
        </w:rPr>
        <w:t>2026</w:t>
      </w:r>
      <w:r>
        <w:rPr>
          <w:rFonts w:ascii="Times New Roman" w:cs="Times New Roman" w:eastAsia="Times New Roman" w:hAnsi="Times New Roman"/>
          <w:sz w:val="18"/>
          <w:szCs w:val="18"/>
          <w:color w:val="222222"/>
        </w:rPr>
        <w:t xml:space="preserve">, compared with 50.9% in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22222"/>
        </w:rPr>
        <w:t>.</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2026 vs. Nine months ended September 30, 2025</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222222"/>
        </w:rPr>
        <w:t xml:space="preserve">Gross margin was 40.7%, compared with 36.8% in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22222"/>
        </w:rPr>
        <w:t xml:space="preserve">. Product sales gross margin increased to 37.8%, compared with 34.6% in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22222"/>
        </w:rPr>
        <w:t xml:space="preserve"> and gross margin on service revenues increased to 53.3%, compared with 49.4% in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22222"/>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Reportable Segment Results section below for further detail on total company revenues and gross margin.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operating expenses were as follows: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0" w:type="dxa"/>
            <w:vAlign w:val="bottom"/>
          </w:tcPr>
          <w:p>
            <w:pPr>
              <w:spacing w:after="0"/>
              <w:rPr>
                <w:sz w:val="1"/>
                <w:szCs w:val="1"/>
                <w:color w:val="auto"/>
              </w:rPr>
            </w:pPr>
          </w:p>
        </w:tc>
      </w:tr>
      <w:tr>
        <w:trPr>
          <w:trHeight w:val="227"/>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6,925</w:t>
            </w:r>
          </w:p>
        </w:tc>
        <w:tc>
          <w:tcPr>
            <w:tcW w:w="0" w:type="dxa"/>
            <w:vAlign w:val="bottom"/>
          </w:tcPr>
          <w:p>
            <w:pPr>
              <w:spacing w:after="0"/>
              <w:rPr>
                <w:sz w:val="1"/>
                <w:szCs w:val="1"/>
                <w:color w:val="auto"/>
              </w:rPr>
            </w:pPr>
          </w:p>
        </w:tc>
      </w:tr>
      <w:tr>
        <w:trPr>
          <w:trHeight w:val="232"/>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0" w:type="dxa"/>
            <w:vAlign w:val="bottom"/>
          </w:tcPr>
          <w:p>
            <w:pPr>
              <w:spacing w:after="0"/>
              <w:rPr>
                <w:sz w:val="1"/>
                <w:szCs w:val="1"/>
                <w:color w:val="auto"/>
              </w:rPr>
            </w:pPr>
          </w:p>
        </w:tc>
      </w:tr>
      <w:tr>
        <w:trPr>
          <w:trHeight w:val="227"/>
        </w:trPr>
        <w:tc>
          <w:tcPr>
            <w:tcW w:w="3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48"/>
        </w:trPr>
        <w:tc>
          <w:tcPr>
            <w:tcW w:w="3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21,481</w:t>
            </w:r>
          </w:p>
        </w:tc>
        <w:tc>
          <w:tcPr>
            <w:tcW w:w="0" w:type="dxa"/>
            <w:vAlign w:val="bottom"/>
          </w:tcPr>
          <w:p>
            <w:pPr>
              <w:spacing w:after="0"/>
              <w:rPr>
                <w:sz w:val="1"/>
                <w:szCs w:val="1"/>
                <w:color w:val="auto"/>
              </w:rPr>
            </w:pPr>
          </w:p>
        </w:tc>
      </w:tr>
      <w:tr>
        <w:trPr>
          <w:trHeight w:val="226"/>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14,165</w:t>
            </w:r>
          </w:p>
        </w:tc>
        <w:tc>
          <w:tcPr>
            <w:tcW w:w="0" w:type="dxa"/>
            <w:vAlign w:val="bottom"/>
          </w:tcPr>
          <w:p>
            <w:pPr>
              <w:spacing w:after="0"/>
              <w:rPr>
                <w:sz w:val="1"/>
                <w:szCs w:val="1"/>
                <w:color w:val="auto"/>
              </w:rPr>
            </w:pPr>
          </w:p>
        </w:tc>
      </w:tr>
      <w:tr>
        <w:trPr>
          <w:trHeight w:val="233"/>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11,685</w:t>
            </w:r>
          </w:p>
        </w:tc>
        <w:tc>
          <w:tcPr>
            <w:tcW w:w="0" w:type="dxa"/>
            <w:vAlign w:val="bottom"/>
          </w:tcPr>
          <w:p>
            <w:pPr>
              <w:spacing w:after="0"/>
              <w:rPr>
                <w:sz w:val="1"/>
                <w:szCs w:val="1"/>
                <w:color w:val="auto"/>
              </w:rPr>
            </w:pPr>
          </w:p>
        </w:tc>
      </w:tr>
      <w:tr>
        <w:trPr>
          <w:trHeight w:val="227"/>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233"/>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20"/>
        </w:trPr>
        <w:tc>
          <w:tcPr>
            <w:tcW w:w="3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472,698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425,973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44,213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46,725</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increased $11.6 million for the third quarter of 2026 as compared with the same period in 2025. This was primarily the result of an increase of $6.9 million in research and development expenses, $4.1 million in amortization of intangible assets driven by two recent acquisitions, and $0.9 million in sales, general and administrative expenses. The increases in research and development and sales, general and administrative expenses were primarily driven by increased labor costs.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expenses increased $46.7 million for the nine months ended September 30, 2026 as compared with the same period in 2025. This was primarily the result of a $21.5 million increase in sales, general and administrative expenses primarily driven by increased labor costs, IT expenses, and acquisition-related costs, a $14.2 million increase in research and development expenses primarily driven by increased labor costs and IT expenses, and an $11.7 million increase in amortization of intangible assets driven by the two recent acquisitions. Refer to Item 1: Financial Statements (Unaudited), Note 4: Intangible Assets included in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income (expense):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80" w:type="dxa"/>
            <w:vAlign w:val="bottom"/>
          </w:tcPr>
          <w:p>
            <w:pPr>
              <w:spacing w:after="0"/>
              <w:rPr>
                <w:sz w:val="18"/>
                <w:szCs w:val="18"/>
                <w:color w:val="auto"/>
              </w:rPr>
            </w:pPr>
          </w:p>
        </w:tc>
      </w:tr>
      <w:tr>
        <w:trPr>
          <w:trHeight w:val="237"/>
        </w:trPr>
        <w:tc>
          <w:tcPr>
            <w:tcW w:w="2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13,569</w:t>
            </w:r>
          </w:p>
        </w:tc>
        <w:tc>
          <w:tcPr>
            <w:tcW w:w="10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220"/>
        </w:trPr>
        <w:tc>
          <w:tcPr>
            <w:tcW w:w="2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prepaid debt fees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0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7%</w:t>
            </w:r>
          </w:p>
        </w:tc>
      </w:tr>
      <w:tr>
        <w:trPr>
          <w:trHeight w:val="233"/>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interest expense</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(3,889)</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w:t>
            </w:r>
          </w:p>
        </w:tc>
        <w:tc>
          <w:tcPr>
            <w:tcW w:w="10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(11,487)</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w:t>
            </w:r>
          </w:p>
        </w:tc>
      </w:tr>
      <w:tr>
        <w:trPr>
          <w:trHeight w:val="22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(5,647)</w:t>
            </w:r>
          </w:p>
        </w:tc>
        <w:tc>
          <w:tcPr>
            <w:tcW w:w="10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(16,888)</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3%</w:t>
            </w:r>
          </w:p>
        </w:tc>
      </w:tr>
      <w:tr>
        <w:trPr>
          <w:trHeight w:val="23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0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(80)%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167%</w:t>
            </w:r>
          </w:p>
        </w:tc>
      </w:tr>
      <w:tr>
        <w:trPr>
          <w:trHeight w:val="223"/>
        </w:trPr>
        <w:tc>
          <w:tcPr>
            <w:tcW w:w="2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8,918</w:t>
            </w:r>
          </w:p>
        </w:tc>
        <w:tc>
          <w:tcPr>
            <w:tcW w:w="10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22,053</w:t>
            </w:r>
          </w:p>
        </w:tc>
        <w:tc>
          <w:tcPr>
            <w:tcW w:w="100" w:type="dxa"/>
            <w:vAlign w:val="bottom"/>
            <w:tcBorders>
              <w:bottom w:val="single" w:sz="8" w:color="auto"/>
            </w:tcBorders>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20"/>
        </w:trPr>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the three and nine months ended September 30, 2026 was income of $1.5 million and $5.3 million, compared with income of $8.9 million and $22.1 million in the same period in 2025.</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net other income for the three months ended September 30, 2026, as compared with the same period in 2025, was primarily driven by the $6.4 million decrease in interest income, resulting from decreased interest-earning cash.</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net other income for the nine months ended September 30, 2026, as compared with the same period in 2025, was driven by the $18.5 million decrease in interest income due to decreased interest-earning cash, partially offset by the $2.3 million increase in other income (expense), resulting primarily from the gain from the sale of an equity method investment.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September 30, 2026, our income tax expense was $25.8 million and $66.1 million, compared with income tax expense of $24.5 million and $56.1 million for the same periods in 2025. Our tax rate of 27% for the three and nine months ended September 30, 2026 differed from the federal statutory rate of 21% due to the impact of valuation allowances on deferred tax assets, the forecasted mix of earnings in domestic and international jurisdictions, an intra-entity asset transfer, the effect of cross-border tax laws, nondeductible executive compensation, a benefit related to stock-based compensation, tax credits, state taxes, and uncertain tax positions. Our tax rate for the three and nine months ended September 30, 2025 of 27% and 22% differed from the federal statutory rate of 21% and overall was impacted by the effect of valuation allowances on deferred tax assets, the forecasted mix of earnings in domestic and international jurisdictions, the effect of cross-border tax laws, nondeductible executive compensation, a benefit related to stock-based compensation, tax credits, state taxes, and uncertain tax positions.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sweeping legislative package formally titled "An act to provide for reconciliation pursuant to title II of H. Con. Res. 14" (the Act), and commonly referred to as the One Big Beautiful Bill Act, was signed into law on July 4, 2025. The Act included numerous changes to existing tax law that took effect in 2026. There were also changes that were retroactive to the beginning of 2025, including the deductibility of current and previously capitalized domestic research and development costs. These changes did not have a significant impact on our consolidated financial statements.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The resulting legislation in most countries where Itron has significant operations took effect for calendar year 2024. We filed our Global Information Return relating to tax year 2024, which resulted in no material top-up taxes. The OECD released further guidance on January 6, 2026, which included new and revised safe harbor rules, including a new permanent safe harbor, and the framework for a "side-by-side" agreement that would exempt US-based multinational companies from all top-up taxes, other than qualified domestic top-up taxes imposed on subsidiaries in their countries of residence. Enactment through legislation will be required in order for this additional guidance to be effective and is expected to only be effective for years after 2025. These enactments or amendments could adversely affect our tax rate and ultimately result in a negative impact on our operating results and cash flows. Consistent with calculations for calendar year 2024 and 2025, the Company anticipates it will meet the safe harbors in most jurisdictions in 2026, and any remaining top-up tax should be immaterial.</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discussion related to income taxes, see Item 1: Financial Statements (Unaudited), Note 10: Income Taxes included in this Quarterly Report on Form 10-Q.</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Results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description of our reportable segments, refer to Item 1: Financial Statements (Unaudited), Note 14: Segment Information included in this Quarterly Report on Form 10-Q. The following tables and discussion highlight significant changes in trends or components of each reportable segment:</w:t>
      </w:r>
    </w:p>
    <w:tbl>
      <w:tblPr>
        <w:tblLayout w:type="fixed"/>
        <w:tblInd w:w="0" w:type="dxa"/>
        <w:tblCellMar>
          <w:top w:w="0" w:type="dxa"/>
          <w:left w:w="0" w:type="dxa"/>
          <w:bottom w:w="0" w:type="dxa"/>
          <w:right w:w="0" w:type="dxa"/>
        </w:tblCellMar>
      </w:tblPr>
      <w:tr>
        <w:trPr>
          <w:trHeight w:val="166"/>
        </w:trPr>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center"/>
              <w:ind w:right="240"/>
              <w:spacing w:after="0" w:line="167"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center"/>
              <w:ind w:right="280"/>
              <w:spacing w:after="0" w:line="167"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revenues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103,622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337,342</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342,253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389,502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393,702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1,079,403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1,205,368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92,241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84,301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284,550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Resiliency Solutions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NM</w:t>
            </w: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center"/>
              <w:ind w:right="39"/>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599,333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581,625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1,749,217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1,795,537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2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9"/>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120" w:type="dxa"/>
            <w:vAlign w:val="bottom"/>
          </w:tcPr>
          <w:p>
            <w:pPr>
              <w:spacing w:after="0"/>
              <w:rPr>
                <w:sz w:val="14"/>
                <w:szCs w:val="14"/>
                <w:color w:val="auto"/>
              </w:rPr>
            </w:pPr>
          </w:p>
        </w:tc>
        <w:tc>
          <w:tcPr>
            <w:tcW w:w="1140" w:type="dxa"/>
            <w:vAlign w:val="bottom"/>
            <w:gridSpan w:val="3"/>
          </w:tcPr>
          <w:p>
            <w:pPr>
              <w:jc w:val="center"/>
              <w:ind w:right="36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96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120" w:type="dxa"/>
            <w:vAlign w:val="bottom"/>
          </w:tcPr>
          <w:p>
            <w:pPr>
              <w:spacing w:after="0"/>
              <w:rPr>
                <w:sz w:val="14"/>
                <w:szCs w:val="14"/>
                <w:color w:val="auto"/>
              </w:rPr>
            </w:pPr>
          </w:p>
        </w:tc>
        <w:tc>
          <w:tcPr>
            <w:tcW w:w="80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120" w:type="dxa"/>
            <w:vAlign w:val="bottom"/>
          </w:tcPr>
          <w:p>
            <w:pPr>
              <w:spacing w:after="0"/>
              <w:rPr>
                <w:sz w:val="14"/>
                <w:szCs w:val="14"/>
                <w:color w:val="auto"/>
              </w:rPr>
            </w:pPr>
          </w:p>
        </w:tc>
        <w:tc>
          <w:tcPr>
            <w:tcW w:w="1140" w:type="dxa"/>
            <w:vAlign w:val="bottom"/>
            <w:gridSpan w:val="3"/>
          </w:tcPr>
          <w:p>
            <w:pPr>
              <w:jc w:val="center"/>
              <w:ind w:right="36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860" w:type="dxa"/>
            <w:vAlign w:val="bottom"/>
          </w:tcPr>
          <w:p>
            <w:pPr>
              <w:jc w:val="center"/>
              <w:ind w:right="39"/>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0" w:type="dxa"/>
            <w:vAlign w:val="bottom"/>
          </w:tcPr>
          <w:p>
            <w:pPr>
              <w:spacing w:after="0"/>
              <w:rPr>
                <w:sz w:val="1"/>
                <w:szCs w:val="1"/>
                <w:color w:val="auto"/>
              </w:rPr>
            </w:pPr>
          </w:p>
        </w:tc>
      </w:tr>
      <w:tr>
        <w:trPr>
          <w:trHeight w:val="162"/>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8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20" w:type="dxa"/>
            <w:vAlign w:val="bottom"/>
          </w:tcPr>
          <w:p>
            <w:pPr>
              <w:spacing w:after="0"/>
              <w:rPr>
                <w:sz w:val="14"/>
                <w:szCs w:val="14"/>
                <w:color w:val="auto"/>
              </w:rPr>
            </w:pPr>
          </w:p>
        </w:tc>
        <w:tc>
          <w:tcPr>
            <w:tcW w:w="1140" w:type="dxa"/>
            <w:vAlign w:val="bottom"/>
            <w:gridSpan w:val="3"/>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9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Gross</w:t>
            </w:r>
          </w:p>
        </w:tc>
        <w:tc>
          <w:tcPr>
            <w:tcW w:w="12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Gross</w:t>
            </w:r>
          </w:p>
        </w:tc>
        <w:tc>
          <w:tcPr>
            <w:tcW w:w="120" w:type="dxa"/>
            <w:vAlign w:val="bottom"/>
          </w:tcPr>
          <w:p>
            <w:pPr>
              <w:spacing w:after="0"/>
              <w:rPr>
                <w:sz w:val="14"/>
                <w:szCs w:val="14"/>
                <w:color w:val="auto"/>
              </w:rPr>
            </w:pPr>
          </w:p>
        </w:tc>
        <w:tc>
          <w:tcPr>
            <w:tcW w:w="1140" w:type="dxa"/>
            <w:vAlign w:val="bottom"/>
            <w:gridSpan w:val="3"/>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8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170"/>
        </w:trPr>
        <w:tc>
          <w:tcPr>
            <w:tcW w:w="2560" w:type="dxa"/>
            <w:vAlign w:val="bottom"/>
            <w:tcBorders>
              <w:top w:val="single" w:sz="8" w:color="auto"/>
            </w:tcBorders>
          </w:tcPr>
          <w:p>
            <w:pPr>
              <w:ind w:left="20"/>
              <w:spacing w:after="0" w:line="170" w:lineRule="exact"/>
              <w:rPr>
                <w:sz w:val="20"/>
                <w:szCs w:val="20"/>
                <w:color w:val="auto"/>
              </w:rPr>
            </w:pPr>
            <w:r>
              <w:rPr>
                <w:rFonts w:ascii="Times New Roman" w:cs="Times New Roman" w:eastAsia="Times New Roman" w:hAnsi="Times New Roman"/>
                <w:sz w:val="16"/>
                <w:szCs w:val="16"/>
                <w:b w:val="1"/>
                <w:bCs w:val="1"/>
                <w:i w:val="1"/>
                <w:iCs w:val="1"/>
                <w:color w:val="auto"/>
              </w:rPr>
              <w:t>Segment adjusted gross profit and</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30.9%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118,678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6"/>
              </w:rPr>
              <w:t>35.2%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2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6"/>
              </w:rPr>
              <w:t>39.3%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450,912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6"/>
              </w:rPr>
              <w:t>41.8%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33"/>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38.9%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114,306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6"/>
              </w:rPr>
              <w:t>40.2%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2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Resiliency Solutions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35,568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6"/>
              </w:rPr>
              <w:t>74.2%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59"/>
        </w:trPr>
        <w:tc>
          <w:tcPr>
            <w:tcW w:w="2560" w:type="dxa"/>
            <w:vAlign w:val="bottom"/>
            <w:tcBorders>
              <w:top w:val="single" w:sz="8" w:color="CCEEFF"/>
            </w:tcBorders>
            <w:shd w:val="clear" w:color="auto" w:fill="CCEEFF"/>
          </w:tcPr>
          <w:p>
            <w:pPr>
              <w:ind w:left="300"/>
              <w:spacing w:after="0" w:line="158" w:lineRule="exact"/>
              <w:rPr>
                <w:sz w:val="20"/>
                <w:szCs w:val="20"/>
                <w:color w:val="auto"/>
              </w:rPr>
            </w:pPr>
            <w:r>
              <w:rPr>
                <w:rFonts w:ascii="Times New Roman" w:cs="Times New Roman" w:eastAsia="Times New Roman" w:hAnsi="Times New Roman"/>
                <w:sz w:val="16"/>
                <w:szCs w:val="16"/>
                <w:color w:val="auto"/>
              </w:rPr>
              <w:t>Total adjusted gross profit and</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247,440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219,545</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37.7%</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719,464</w:t>
            </w: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vMerge w:val="restart"/>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6"/>
              </w:rPr>
              <w:t>41.1%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660,382</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CCEEFF"/>
            </w:tcBorders>
            <w:shd w:val="clear" w:color="auto" w:fill="CCEEFF"/>
          </w:tcPr>
          <w:p>
            <w:pPr>
              <w:ind w:left="480"/>
              <w:spacing w:after="0" w:line="189" w:lineRule="exact"/>
              <w:rPr>
                <w:sz w:val="20"/>
                <w:szCs w:val="20"/>
                <w:color w:val="auto"/>
              </w:rPr>
            </w:pPr>
            <w:r>
              <w:rPr>
                <w:rFonts w:ascii="Times New Roman" w:cs="Times New Roman" w:eastAsia="Times New Roman" w:hAnsi="Times New Roman"/>
                <w:sz w:val="16"/>
                <w:szCs w:val="16"/>
                <w:color w:val="auto"/>
              </w:rPr>
              <w:t xml:space="preserve">margin </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gridSpan w:val="4"/>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gridSpan w:val="4"/>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2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9"/>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120" w:type="dxa"/>
            <w:vAlign w:val="bottom"/>
          </w:tcPr>
          <w:p>
            <w:pPr>
              <w:spacing w:after="0"/>
              <w:rPr>
                <w:sz w:val="14"/>
                <w:szCs w:val="14"/>
                <w:color w:val="auto"/>
              </w:rPr>
            </w:pPr>
          </w:p>
        </w:tc>
        <w:tc>
          <w:tcPr>
            <w:tcW w:w="1140" w:type="dxa"/>
            <w:vAlign w:val="bottom"/>
            <w:gridSpan w:val="3"/>
          </w:tcPr>
          <w:p>
            <w:pPr>
              <w:jc w:val="center"/>
              <w:ind w:right="36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96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120" w:type="dxa"/>
            <w:vAlign w:val="bottom"/>
          </w:tcPr>
          <w:p>
            <w:pPr>
              <w:spacing w:after="0"/>
              <w:rPr>
                <w:sz w:val="14"/>
                <w:szCs w:val="14"/>
                <w:color w:val="auto"/>
              </w:rPr>
            </w:pPr>
          </w:p>
        </w:tc>
        <w:tc>
          <w:tcPr>
            <w:tcW w:w="80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120" w:type="dxa"/>
            <w:vAlign w:val="bottom"/>
          </w:tcPr>
          <w:p>
            <w:pPr>
              <w:spacing w:after="0"/>
              <w:rPr>
                <w:sz w:val="14"/>
                <w:szCs w:val="14"/>
                <w:color w:val="auto"/>
              </w:rPr>
            </w:pPr>
          </w:p>
        </w:tc>
        <w:tc>
          <w:tcPr>
            <w:tcW w:w="1140" w:type="dxa"/>
            <w:vAlign w:val="bottom"/>
            <w:gridSpan w:val="3"/>
          </w:tcPr>
          <w:p>
            <w:pPr>
              <w:jc w:val="center"/>
              <w:ind w:right="36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860" w:type="dxa"/>
            <w:vAlign w:val="bottom"/>
          </w:tcPr>
          <w:p>
            <w:pPr>
              <w:jc w:val="center"/>
              <w:ind w:right="39"/>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Adjusted</w:t>
            </w:r>
          </w:p>
        </w:tc>
        <w:tc>
          <w:tcPr>
            <w:tcW w:w="0" w:type="dxa"/>
            <w:vAlign w:val="bottom"/>
          </w:tcPr>
          <w:p>
            <w:pPr>
              <w:spacing w:after="0"/>
              <w:rPr>
                <w:sz w:val="1"/>
                <w:szCs w:val="1"/>
                <w:color w:val="auto"/>
              </w:rPr>
            </w:pPr>
          </w:p>
        </w:tc>
      </w:tr>
      <w:tr>
        <w:trPr>
          <w:trHeight w:val="162"/>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86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20" w:type="dxa"/>
            <w:vAlign w:val="bottom"/>
          </w:tcPr>
          <w:p>
            <w:pPr>
              <w:spacing w:after="0"/>
              <w:rPr>
                <w:sz w:val="14"/>
                <w:szCs w:val="14"/>
                <w:color w:val="auto"/>
              </w:rPr>
            </w:pPr>
          </w:p>
        </w:tc>
        <w:tc>
          <w:tcPr>
            <w:tcW w:w="1140" w:type="dxa"/>
            <w:vAlign w:val="bottom"/>
            <w:gridSpan w:val="3"/>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9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2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20" w:type="dxa"/>
            <w:vAlign w:val="bottom"/>
          </w:tcPr>
          <w:p>
            <w:pPr>
              <w:spacing w:after="0"/>
              <w:rPr>
                <w:sz w:val="14"/>
                <w:szCs w:val="14"/>
                <w:color w:val="auto"/>
              </w:rPr>
            </w:pPr>
          </w:p>
        </w:tc>
        <w:tc>
          <w:tcPr>
            <w:tcW w:w="1140" w:type="dxa"/>
            <w:vAlign w:val="bottom"/>
            <w:gridSpan w:val="3"/>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86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170"/>
        </w:trPr>
        <w:tc>
          <w:tcPr>
            <w:tcW w:w="2560" w:type="dxa"/>
            <w:vAlign w:val="bottom"/>
            <w:tcBorders>
              <w:top w:val="single" w:sz="8" w:color="auto"/>
            </w:tcBorders>
          </w:tcPr>
          <w:p>
            <w:pPr>
              <w:ind w:left="20"/>
              <w:spacing w:after="0" w:line="170" w:lineRule="exact"/>
              <w:rPr>
                <w:sz w:val="20"/>
                <w:szCs w:val="20"/>
                <w:color w:val="auto"/>
              </w:rPr>
            </w:pPr>
            <w:r>
              <w:rPr>
                <w:rFonts w:ascii="Times New Roman" w:cs="Times New Roman" w:eastAsia="Times New Roman" w:hAnsi="Times New Roman"/>
                <w:sz w:val="16"/>
                <w:szCs w:val="16"/>
                <w:b w:val="1"/>
                <w:bCs w:val="1"/>
                <w:i w:val="1"/>
                <w:iCs w:val="1"/>
                <w:color w:val="auto"/>
              </w:rPr>
              <w:t>Segment adjusted operating income</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and operating margin</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24.0%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97,264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6"/>
              </w:rPr>
              <w:t>28.8%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2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6"/>
              </w:rPr>
              <w:t>31.0%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6"/>
              </w:rPr>
              <w:t>32.7%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33"/>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19.9%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6"/>
              </w:rPr>
              <w:t>21.7%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27"/>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Resiliency Solutions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6"/>
              </w:rPr>
              <w:t>27.0%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58"/>
        </w:trPr>
        <w:tc>
          <w:tcPr>
            <w:tcW w:w="2560" w:type="dxa"/>
            <w:vAlign w:val="bottom"/>
            <w:tcBorders>
              <w:top w:val="single" w:sz="8" w:color="CCEEFF"/>
            </w:tcBorders>
            <w:shd w:val="clear" w:color="auto" w:fill="CCEEFF"/>
          </w:tcPr>
          <w:p>
            <w:pPr>
              <w:ind w:left="300"/>
              <w:spacing w:after="0" w:line="158" w:lineRule="exact"/>
              <w:rPr>
                <w:sz w:val="20"/>
                <w:szCs w:val="20"/>
                <w:color w:val="auto"/>
              </w:rPr>
            </w:pPr>
            <w:r>
              <w:rPr>
                <w:rFonts w:ascii="Times New Roman" w:cs="Times New Roman" w:eastAsia="Times New Roman" w:hAnsi="Times New Roman"/>
                <w:sz w:val="16"/>
                <w:szCs w:val="16"/>
                <w:color w:val="auto"/>
              </w:rPr>
              <w:t>Total segment adjusted operating</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182,312</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163,561</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6"/>
              </w:rPr>
              <w:t>28.1%</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524,526</w:t>
            </w: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vMerge w:val="restart"/>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6"/>
              </w:rPr>
              <w:t>30.0%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486,611</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income and operating margin</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Refer to the Non-GAAP Measures section below on pages 46-50 for additional information on adjusted gross profit and margin.</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378"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Device Solutions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Device Solutions segment financial results were as follows: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26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rPr>
              <w:t>(1,334)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(2,102)</w:t>
            </w:r>
          </w:p>
        </w:tc>
        <w:tc>
          <w:tcPr>
            <w:tcW w:w="0" w:type="dxa"/>
            <w:vAlign w:val="bottom"/>
          </w:tcPr>
          <w:p>
            <w:pPr>
              <w:spacing w:after="0"/>
              <w:rPr>
                <w:sz w:val="1"/>
                <w:szCs w:val="1"/>
                <w:color w:val="auto"/>
              </w:rPr>
            </w:pPr>
          </w:p>
        </w:tc>
      </w:tr>
      <w:tr>
        <w:trPr>
          <w:trHeight w:val="227"/>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Adjusted gross profit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left="659"/>
              <w:spacing w:after="0"/>
              <w:rPr>
                <w:sz w:val="20"/>
                <w:szCs w:val="20"/>
                <w:color w:val="auto"/>
              </w:rPr>
            </w:pPr>
            <w:r>
              <w:rPr>
                <w:rFonts w:ascii="Times New Roman" w:cs="Times New Roman" w:eastAsia="Times New Roman" w:hAnsi="Times New Roman"/>
                <w:sz w:val="16"/>
                <w:szCs w:val="16"/>
                <w:color w:val="auto"/>
                <w:w w:val="99"/>
              </w:rPr>
              <w:t>4,196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rPr>
              <w:t>3,893</w:t>
            </w:r>
          </w:p>
        </w:tc>
        <w:tc>
          <w:tcPr>
            <w:tcW w:w="0" w:type="dxa"/>
            <w:vAlign w:val="bottom"/>
          </w:tcPr>
          <w:p>
            <w:pPr>
              <w:spacing w:after="0"/>
              <w:rPr>
                <w:sz w:val="1"/>
                <w:szCs w:val="1"/>
                <w:color w:val="auto"/>
              </w:rPr>
            </w:pPr>
          </w:p>
        </w:tc>
      </w:tr>
      <w:tr>
        <w:trPr>
          <w:trHeight w:val="232"/>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w w:val="99"/>
              </w:rPr>
              <w:t>4,281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center"/>
              <w:ind w:left="739"/>
              <w:spacing w:after="0"/>
              <w:rPr>
                <w:sz w:val="20"/>
                <w:szCs w:val="20"/>
                <w:color w:val="auto"/>
              </w:rPr>
            </w:pPr>
            <w:r>
              <w:rPr>
                <w:rFonts w:ascii="Times New Roman" w:cs="Times New Roman" w:eastAsia="Times New Roman" w:hAnsi="Times New Roman"/>
                <w:sz w:val="16"/>
                <w:szCs w:val="16"/>
                <w:color w:val="auto"/>
              </w:rPr>
              <w:t>3,976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gridSpan w:val="4"/>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
                <w:szCs w:val="2"/>
                <w:color w:val="auto"/>
              </w:rPr>
            </w:pPr>
          </w:p>
        </w:tc>
        <w:tc>
          <w:tcPr>
            <w:tcW w:w="132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30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ind w:left="539"/>
              <w:spacing w:after="0"/>
              <w:rPr>
                <w:sz w:val="20"/>
                <w:szCs w:val="20"/>
                <w:color w:val="auto"/>
              </w:rPr>
            </w:pPr>
            <w:r>
              <w:rPr>
                <w:rFonts w:ascii="Times New Roman" w:cs="Times New Roman" w:eastAsia="Times New Roman" w:hAnsi="Times New Roman"/>
                <w:sz w:val="16"/>
                <w:szCs w:val="16"/>
                <w:color w:val="auto"/>
              </w:rPr>
              <w:t>(16,197)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(4,911)</w:t>
            </w:r>
          </w:p>
        </w:tc>
        <w:tc>
          <w:tcPr>
            <w:tcW w:w="0" w:type="dxa"/>
            <w:vAlign w:val="bottom"/>
          </w:tcPr>
          <w:p>
            <w:pPr>
              <w:spacing w:after="0"/>
              <w:rPr>
                <w:sz w:val="1"/>
                <w:szCs w:val="1"/>
                <w:color w:val="auto"/>
              </w:rPr>
            </w:pPr>
          </w:p>
        </w:tc>
      </w:tr>
      <w:tr>
        <w:trPr>
          <w:trHeight w:val="227"/>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Adjusted gross profit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left="579"/>
              <w:spacing w:after="0"/>
              <w:rPr>
                <w:sz w:val="20"/>
                <w:szCs w:val="20"/>
                <w:color w:val="auto"/>
              </w:rPr>
            </w:pPr>
            <w:r>
              <w:rPr>
                <w:rFonts w:ascii="Times New Roman" w:cs="Times New Roman" w:eastAsia="Times New Roman" w:hAnsi="Times New Roman"/>
                <w:sz w:val="16"/>
                <w:szCs w:val="16"/>
                <w:color w:val="auto"/>
                <w:w w:val="99"/>
              </w:rPr>
              <w:t>13,118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15,327</w:t>
            </w:r>
          </w:p>
        </w:tc>
        <w:tc>
          <w:tcPr>
            <w:tcW w:w="0" w:type="dxa"/>
            <w:vAlign w:val="bottom"/>
          </w:tcPr>
          <w:p>
            <w:pPr>
              <w:spacing w:after="0"/>
              <w:rPr>
                <w:sz w:val="1"/>
                <w:szCs w:val="1"/>
                <w:color w:val="auto"/>
              </w:rPr>
            </w:pPr>
          </w:p>
        </w:tc>
      </w:tr>
      <w:tr>
        <w:trPr>
          <w:trHeight w:val="233"/>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97,264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14,417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16,464</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2026 vs. Three months ended September 30, 2025</w:t>
      </w:r>
    </w:p>
    <w:p>
      <w:pPr>
        <w:spacing w:after="0" w:line="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Revenues decreased $2.1 million, or 2%. Changes in foreign currency exchange rates unfavorably impacted revenues by $0.8 million. Revenues were lower due to decreases in legacy gas product sales.</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2026 vs. Nine months ended September 30, 2025</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Revenues decreased $4.9 million, or 1%. Changes in foreign currency exchange rates favorably impacted revenues by $11.3 million. Revenues were lower due to the planned decreases in electric hardware sales.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Gross Margin - Three months ended September 30, 2026 vs. Three months ended September 30, 2025</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For the three months ended September 30, 2026, adjusted gross margin was 35.4%, compared with 30.9% for the same period in 2025. The 450 basis point increase over the prior year was primarily due to an improved product mix and operational efficiencies.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Gross Margin - Nine months ended September 30, 2026 vs. Nine months ended September 30,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nine months ended September 30, 2026, adjusted gross margin was 35.2%, compared with 30.2% for the same period in 2025. The 500 basis point increase over the prior year was primarily driven by improved customer and product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Operating Income - Three months ended September 30, 2026 vs. Three months ended September 30, 2025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operating income increased $4.0 million, or 16%, compared with 2025. The increase was primarily the result of higher adjusted gross profit.</w:t>
      </w: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Operating Income - Nine months ended September 30, 2026 vs. Nine months ended September 30,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Adjusted operating income increased $16.5 million, or 20%, for the first nine months of 2026, compared with the same period in 2025. The increase was primarily the result of higher adjusted gross profit.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Networked Solutions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Networked Solutions segment financial results were as follows: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26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0" w:type="dxa"/>
            <w:vAlign w:val="bottom"/>
          </w:tcPr>
          <w:p>
            <w:pPr>
              <w:spacing w:after="0"/>
              <w:rPr>
                <w:sz w:val="1"/>
                <w:szCs w:val="1"/>
                <w:color w:val="auto"/>
              </w:rPr>
            </w:pPr>
          </w:p>
        </w:tc>
      </w:tr>
      <w:tr>
        <w:trPr>
          <w:trHeight w:val="226"/>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Adjusted gross profit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7,924</w:t>
            </w:r>
          </w:p>
        </w:tc>
        <w:tc>
          <w:tcPr>
            <w:tcW w:w="0" w:type="dxa"/>
            <w:vAlign w:val="bottom"/>
          </w:tcPr>
          <w:p>
            <w:pPr>
              <w:spacing w:after="0"/>
              <w:rPr>
                <w:sz w:val="1"/>
                <w:szCs w:val="1"/>
                <w:color w:val="auto"/>
              </w:rPr>
            </w:pPr>
          </w:p>
        </w:tc>
      </w:tr>
      <w:tr>
        <w:trPr>
          <w:trHeight w:val="233"/>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130,420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8,540</w:t>
            </w:r>
          </w:p>
        </w:tc>
        <w:tc>
          <w:tcPr>
            <w:tcW w:w="0" w:type="dxa"/>
            <w:vAlign w:val="bottom"/>
          </w:tcPr>
          <w:p>
            <w:pPr>
              <w:spacing w:after="0"/>
              <w:rPr>
                <w:sz w:val="1"/>
                <w:szCs w:val="1"/>
                <w:color w:val="auto"/>
              </w:rPr>
            </w:pPr>
          </w:p>
        </w:tc>
      </w:tr>
      <w:tr>
        <w:trPr>
          <w:trHeight w:val="824"/>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26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1,079,403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1,205,368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(125,965)</w:t>
            </w:r>
          </w:p>
        </w:tc>
        <w:tc>
          <w:tcPr>
            <w:tcW w:w="0" w:type="dxa"/>
            <w:vAlign w:val="bottom"/>
          </w:tcPr>
          <w:p>
            <w:pPr>
              <w:spacing w:after="0"/>
              <w:rPr>
                <w:sz w:val="1"/>
                <w:szCs w:val="1"/>
                <w:color w:val="auto"/>
              </w:rPr>
            </w:pPr>
          </w:p>
        </w:tc>
      </w:tr>
      <w:tr>
        <w:trPr>
          <w:trHeight w:val="227"/>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Adjusted gross profit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450,912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(9,806)</w:t>
            </w:r>
          </w:p>
        </w:tc>
        <w:tc>
          <w:tcPr>
            <w:tcW w:w="0" w:type="dxa"/>
            <w:vAlign w:val="bottom"/>
          </w:tcPr>
          <w:p>
            <w:pPr>
              <w:spacing w:after="0"/>
              <w:rPr>
                <w:sz w:val="1"/>
                <w:szCs w:val="1"/>
                <w:color w:val="auto"/>
              </w:rPr>
            </w:pPr>
          </w:p>
        </w:tc>
      </w:tr>
      <w:tr>
        <w:trPr>
          <w:trHeight w:val="232"/>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352,617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2026 vs. Three months ended September 30,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decreased $4.2 million, or 1%, in 2026 compared with 2025. The decrease was primarily due to the timing of customer deployments. Changes in foreign currency exchange rates unfavorably impacted revenues by $0.2 million.</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2026 vs. Nine months ended September 30, 2025</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Revenues decreased $126.0 million, or 10%, for the first nine months of 2026, compared with the same period in 2025. The decline was primarily due to the timing of customer deployments. Changes in foreign currency exchange rates favorably impacted revenues by $2.9 million.</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Gross Margin - Three months ended September 30, 2026 vs. Three months ended September 30,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was 41.8% for the period ending September 30, 2026, compared with 39.3% in 2025. The 250 basis point increase was primarily related to improved operational efficiencies and favorable customer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Gross Margin - Nine months ended September 30, 2026 vs. Nine months ended September 30, 2025</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Adjusted gross margin was 41.8% for the 2026 period, compared with 38.2% in 2025. The 360 basis point increase was primarily related to favorable customer mix and operational efficiencies.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Operating Income - Three months ended September 30, 2026 vs. Three months ended September 30,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Adjusted operating income increased $8.5 million, or 7%, for the quarter in 2026, compared with the same period in 2025. The increase was the result of higher adjusted gross profit and lower research and development costs.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Operating Income - Nine months ended September 30, 2026 vs. Nine months ended September 30,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Adjusted operating income decreased $6.4 million, or 2%, for the first nine months of 2026, compared with the same period in 2025. The decrease was the result of lower adjusted gross profit, partially offset by lower research and development costs.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Outcomes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Outcomes segment financial results were as follows: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26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7,940</w:t>
            </w:r>
          </w:p>
        </w:tc>
        <w:tc>
          <w:tcPr>
            <w:tcW w:w="0" w:type="dxa"/>
            <w:vAlign w:val="bottom"/>
          </w:tcPr>
          <w:p>
            <w:pPr>
              <w:spacing w:after="0"/>
              <w:rPr>
                <w:sz w:val="1"/>
                <w:szCs w:val="1"/>
                <w:color w:val="auto"/>
              </w:rPr>
            </w:pPr>
          </w:p>
        </w:tc>
      </w:tr>
      <w:tr>
        <w:trPr>
          <w:trHeight w:val="226"/>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Adjusted gross profit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0" w:type="dxa"/>
            <w:vAlign w:val="bottom"/>
          </w:tcPr>
          <w:p>
            <w:pPr>
              <w:spacing w:after="0"/>
              <w:rPr>
                <w:sz w:val="1"/>
                <w:szCs w:val="1"/>
                <w:color w:val="auto"/>
              </w:rPr>
            </w:pPr>
          </w:p>
        </w:tc>
      </w:tr>
      <w:tr>
        <w:trPr>
          <w:trHeight w:val="233"/>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823"/>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26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247,916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36,634</w:t>
            </w:r>
          </w:p>
        </w:tc>
        <w:tc>
          <w:tcPr>
            <w:tcW w:w="0" w:type="dxa"/>
            <w:vAlign w:val="bottom"/>
          </w:tcPr>
          <w:p>
            <w:pPr>
              <w:spacing w:after="0"/>
              <w:rPr>
                <w:sz w:val="1"/>
                <w:szCs w:val="1"/>
                <w:color w:val="auto"/>
              </w:rPr>
            </w:pPr>
          </w:p>
        </w:tc>
      </w:tr>
      <w:tr>
        <w:trPr>
          <w:trHeight w:val="227"/>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Adjusted gross profit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17,993</w:t>
            </w:r>
          </w:p>
        </w:tc>
        <w:tc>
          <w:tcPr>
            <w:tcW w:w="0" w:type="dxa"/>
            <w:vAlign w:val="bottom"/>
          </w:tcPr>
          <w:p>
            <w:pPr>
              <w:spacing w:after="0"/>
              <w:rPr>
                <w:sz w:val="1"/>
                <w:szCs w:val="1"/>
                <w:color w:val="auto"/>
              </w:rPr>
            </w:pPr>
          </w:p>
        </w:tc>
      </w:tr>
      <w:tr>
        <w:trPr>
          <w:trHeight w:val="233"/>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14,902</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2026 vs. Three months ended September 30,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2026 period, revenues increased $7.9 million, or 9%, compared with the 2025 period. This increase was primarily driven by higher managed and professional services.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2026 vs. Nine months ended September 30,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increased $36.6 million, or 15%, for the first nine months of 2026, compared with 2025. This increase was primarily driven by higher services revenue. Changes in foreign currency exchange rates favorably impacted revenues by $2.0 million.</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Gross Margin - Three months ended September 30, 2026 vs. Three months ended September 30,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increased to 40.0% for the third quarter of 2026, compared with 38.9% for the same period last year. The 110 basis point increase was driven by solution mix and cost improvements.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Gross Margin - Nine months ended September 30, 2026 vs. Nine months ended September 30,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Adjusted gross margin increased to 40.2% for the period ending in 2026, compared with 38.8% for last year. The 140 basis point increase was driven by cost improvements.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Operating Income - Three months ended September 30, 2026 vs. Three months ended September 30, 2025</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Adjusted operating income for the 2026 period increased $2.0 million, or 12%, compared with the same period last year. This increase was primarily driven by the impact of higher adjusted gross profit, partially offset by increased operating expenses associated with higher research and development infrastructure investment.</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Operating Income - Nine months ended September 30, 2026 vs. Nine months ended September 30, 2025</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Adjusted operating income for the first nine months of 2026 increased $14.9 million, or 32%, compared with the same period last year. This increase was primarily attributable to higher adjusted gross profit, partially offset by increased labor costs and research and development infrastructure investment.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Resiliency Solutions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Resiliency Solutions segment financial results were as follows: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040" w:type="dxa"/>
            <w:vAlign w:val="bottom"/>
            <w:gridSpan w:val="4"/>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3040" w:type="dxa"/>
            <w:vAlign w:val="bottom"/>
            <w:tcBorders>
              <w:bottom w:val="single" w:sz="8" w:color="auto"/>
            </w:tcBorders>
            <w:gridSpan w:val="4"/>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2"/>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Resiliency Solutions Segment</w:t>
            </w:r>
          </w:p>
        </w:tc>
        <w:tc>
          <w:tcPr>
            <w:tcW w:w="106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0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16,070</w:t>
            </w:r>
          </w:p>
        </w:tc>
        <w:tc>
          <w:tcPr>
            <w:tcW w:w="0" w:type="dxa"/>
            <w:vAlign w:val="bottom"/>
          </w:tcPr>
          <w:p>
            <w:pPr>
              <w:spacing w:after="0"/>
              <w:rPr>
                <w:sz w:val="1"/>
                <w:szCs w:val="1"/>
                <w:color w:val="auto"/>
              </w:rPr>
            </w:pPr>
          </w:p>
        </w:tc>
      </w:tr>
      <w:tr>
        <w:trPr>
          <w:trHeight w:val="226"/>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Adjusted gross profit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11,953</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11,953</w:t>
            </w:r>
          </w:p>
        </w:tc>
        <w:tc>
          <w:tcPr>
            <w:tcW w:w="0" w:type="dxa"/>
            <w:vAlign w:val="bottom"/>
          </w:tcPr>
          <w:p>
            <w:pPr>
              <w:spacing w:after="0"/>
              <w:rPr>
                <w:sz w:val="1"/>
                <w:szCs w:val="1"/>
                <w:color w:val="auto"/>
              </w:rPr>
            </w:pPr>
          </w:p>
        </w:tc>
      </w:tr>
      <w:tr>
        <w:trPr>
          <w:trHeight w:val="233"/>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10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020" w:type="dxa"/>
            <w:vAlign w:val="bottom"/>
            <w:gridSpan w:val="4"/>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3020" w:type="dxa"/>
            <w:vAlign w:val="bottom"/>
            <w:tcBorders>
              <w:bottom w:val="single" w:sz="8" w:color="auto"/>
            </w:tcBorders>
            <w:gridSpan w:val="4"/>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2"/>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Resiliency Solutions Segment</w:t>
            </w:r>
          </w:p>
        </w:tc>
        <w:tc>
          <w:tcPr>
            <w:tcW w:w="106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0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47,922</w:t>
            </w:r>
          </w:p>
        </w:tc>
        <w:tc>
          <w:tcPr>
            <w:tcW w:w="0" w:type="dxa"/>
            <w:vAlign w:val="bottom"/>
          </w:tcPr>
          <w:p>
            <w:pPr>
              <w:spacing w:after="0"/>
              <w:rPr>
                <w:sz w:val="1"/>
                <w:szCs w:val="1"/>
                <w:color w:val="auto"/>
              </w:rPr>
            </w:pPr>
          </w:p>
        </w:tc>
      </w:tr>
      <w:tr>
        <w:trPr>
          <w:trHeight w:val="227"/>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Adjusted gross profit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35,568</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35,568</w:t>
            </w:r>
          </w:p>
        </w:tc>
        <w:tc>
          <w:tcPr>
            <w:tcW w:w="0" w:type="dxa"/>
            <w:vAlign w:val="bottom"/>
          </w:tcPr>
          <w:p>
            <w:pPr>
              <w:spacing w:after="0"/>
              <w:rPr>
                <w:sz w:val="1"/>
                <w:szCs w:val="1"/>
                <w:color w:val="auto"/>
              </w:rPr>
            </w:pPr>
          </w:p>
        </w:tc>
      </w:tr>
      <w:tr>
        <w:trPr>
          <w:trHeight w:val="232"/>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10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2026</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were $16.1 million for the 2026 period. Revenues consisted primarily of recurring software as a service, as well as professional services related to deploying customer environments.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2026</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were $47.9 million for the first nine months of 2026. Revenues consisted primarily of recurring software as a service, as well as professional services related to deploying customer environments.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Gross Margin - Three months ended September 30, 2026</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Adjusted gross margin was 74.4% for the 2026 period. Costs included in determining gross margin consist primarily of hosting fees, labor costs for managed services and professional services delivery, and certain hardware and software costs.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Gross Margin - Nine months ended September 30, 2026</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Adjusted gross margin was 74.2% for the first nine months of 2026. Costs included in determining gross margin consist primarily of hosting fees, labor costs for managed services and professional services delivery, and certain hardware and software costs.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Operating Income - Three months ended September 30, 2026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operating income was $4.2 million for the 2026 period.</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Adjusted Operating Income - Nine months ended September 30, 2026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operating income was $12.9 million for the first nine months of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Unallocated</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Three months ended September 30, 2026 vs. Three months ended September 30, 2025</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Corporate unallocated expenses increased $2.5 million or 3%, for the three months ended September 30, 2026 compared with the same period in 2025. The increase was primarily the result of $4.1 million increase in amortization of intangible assets and $2.0 million increase in research and development expenses, primarily driven by increased labor costs, partially offset by $3.3 million decrease in sales, general, and administrative expenses.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Nine months ended September 30, 2026 vs. Nine months ended September 30, 2025</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first nine months of 2026, corporate unallocated expenses increased $25.6 million, or 10%, compared with the 2025 period. This increase was primarily the result of an $11.7 million increase in amortization of intangible assets, an $11.1 million increase in sales, general and administrative expenses driven by increased labor costs, IT expenses, and acquisition-related costs, and a $3.4 million increase in research and development expenses primarily driven by increased labor costs and IT expenses. Refer to Item 1: Financial Statements (Unaudited), Note 4: Intangible Assets included in this Quarterly Report on Form 10-Q for additional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Bookings and Backlog of Orders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reflects our understanding of customer's desired deployment over the next 12 months. The actual revenue recognized and timing of revenue earned from backlog will vary based on actual currency rates at the time of shipment, availability of critical supply components, and adjusted customer project timing. Backlog is not a complete measure of our future revenues as we also receive book-and-ship orders and frame contracts. Bookings and backlog vary from period to period primarily due to the timing of large project awards. In addition, annual or multi-year contracts are subject to rescheduling due to the long-term nature of the contracts. Certain of our customers have the right to cancel contracts, but we do not have a history of any significant cancellations. Beginning total backlog, plus bookings, minus revenues, will not equal ending total backlog due to miscellaneous contract adjustments, foreign currency fluctuations, and other factors. Total bookings and backlog include certain contracts with a termination for convenience clause, which will not agree to the total transaction price allocated to the remaining performance obligations disclosed in Item 1: Financial Statements (Unaudited), Note 15: Revenues included in this Quarterly Report on Form 10-Q.</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3620" w:type="dxa"/>
            <w:vAlign w:val="bottom"/>
            <w:vMerge w:val="restart"/>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rPr>
              <w:t>Quarterly</w:t>
            </w: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360" w:type="dxa"/>
            <w:vAlign w:val="bottom"/>
          </w:tcPr>
          <w:p>
            <w:pPr>
              <w:spacing w:after="0"/>
              <w:rPr>
                <w:sz w:val="16"/>
                <w:szCs w:val="16"/>
                <w:color w:val="auto"/>
              </w:rPr>
            </w:pPr>
          </w:p>
        </w:tc>
        <w:tc>
          <w:tcPr>
            <w:tcW w:w="13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162"/>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36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360" w:type="dxa"/>
            <w:vAlign w:val="bottom"/>
          </w:tcPr>
          <w:p>
            <w:pPr>
              <w:spacing w:after="0"/>
              <w:rPr>
                <w:sz w:val="14"/>
                <w:szCs w:val="14"/>
                <w:color w:val="auto"/>
              </w:rPr>
            </w:pPr>
          </w:p>
        </w:tc>
        <w:tc>
          <w:tcPr>
            <w:tcW w:w="1360" w:type="dxa"/>
            <w:vAlign w:val="bottom"/>
          </w:tcPr>
          <w:p>
            <w:pPr>
              <w:jc w:val="center"/>
              <w:ind w:right="199"/>
              <w:spacing w:after="0" w:line="162" w:lineRule="exact"/>
              <w:rPr>
                <w:sz w:val="20"/>
                <w:szCs w:val="20"/>
                <w:color w:val="auto"/>
              </w:rPr>
            </w:pPr>
            <w:r>
              <w:rPr>
                <w:rFonts w:ascii="Times New Roman" w:cs="Times New Roman" w:eastAsia="Times New Roman" w:hAnsi="Times New Roman"/>
                <w:sz w:val="16"/>
                <w:szCs w:val="16"/>
                <w:b w:val="1"/>
                <w:bCs w:val="1"/>
                <w:color w:val="auto"/>
              </w:rPr>
              <w:t>12-Month</w:t>
            </w:r>
          </w:p>
        </w:tc>
        <w:tc>
          <w:tcPr>
            <w:tcW w:w="0" w:type="dxa"/>
            <w:vAlign w:val="bottom"/>
          </w:tcPr>
          <w:p>
            <w:pPr>
              <w:spacing w:after="0"/>
              <w:rPr>
                <w:sz w:val="1"/>
                <w:szCs w:val="1"/>
                <w:color w:val="auto"/>
              </w:rPr>
            </w:pPr>
          </w:p>
        </w:tc>
      </w:tr>
      <w:tr>
        <w:trPr>
          <w:trHeight w:val="214"/>
        </w:trPr>
        <w:tc>
          <w:tcPr>
            <w:tcW w:w="3720" w:type="dxa"/>
            <w:vAlign w:val="bottom"/>
            <w:tcBorders>
              <w:bottom w:val="single" w:sz="8" w:color="auto"/>
            </w:tcBorders>
            <w:vMerge w:val="continue"/>
          </w:tcPr>
          <w:p>
            <w:pPr>
              <w:spacing w:after="0"/>
              <w:rPr>
                <w:sz w:val="18"/>
                <w:szCs w:val="18"/>
                <w:color w:val="auto"/>
              </w:rPr>
            </w:pPr>
          </w:p>
        </w:tc>
        <w:tc>
          <w:tcPr>
            <w:tcW w:w="3620" w:type="dxa"/>
            <w:vAlign w:val="bottom"/>
            <w:tcBorders>
              <w:bottom w:val="single" w:sz="8" w:color="auto"/>
            </w:tcBorders>
          </w:tcPr>
          <w:p>
            <w:pPr>
              <w:jc w:val="center"/>
              <w:ind w:left="2659"/>
              <w:spacing w:after="0"/>
              <w:rPr>
                <w:sz w:val="20"/>
                <w:szCs w:val="20"/>
                <w:color w:val="auto"/>
              </w:rPr>
            </w:pPr>
            <w:r>
              <w:rPr>
                <w:rFonts w:ascii="Times New Roman" w:cs="Times New Roman" w:eastAsia="Times New Roman" w:hAnsi="Times New Roman"/>
                <w:sz w:val="16"/>
                <w:szCs w:val="16"/>
                <w:b w:val="1"/>
                <w:bCs w:val="1"/>
                <w:color w:val="auto"/>
              </w:rPr>
              <w:t>Bookings</w:t>
            </w: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0" w:type="dxa"/>
            <w:vAlign w:val="bottom"/>
          </w:tcPr>
          <w:p>
            <w:pPr>
              <w:spacing w:after="0"/>
              <w:rPr>
                <w:sz w:val="1"/>
                <w:szCs w:val="1"/>
                <w:color w:val="auto"/>
              </w:rPr>
            </w:pPr>
          </w:p>
        </w:tc>
      </w:tr>
      <w:tr>
        <w:trPr>
          <w:trHeight w:val="222"/>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2026</w:t>
            </w:r>
          </w:p>
        </w:tc>
        <w:tc>
          <w:tcPr>
            <w:tcW w:w="362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482</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4,292</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0" w:type="dxa"/>
            <w:vAlign w:val="bottom"/>
          </w:tcPr>
          <w:p>
            <w:pPr>
              <w:spacing w:after="0"/>
              <w:rPr>
                <w:sz w:val="1"/>
                <w:szCs w:val="1"/>
                <w:color w:val="auto"/>
              </w:rPr>
            </w:pPr>
          </w:p>
        </w:tc>
      </w:tr>
      <w:tr>
        <w:trPr>
          <w:trHeight w:val="22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30, 2026</w:t>
            </w:r>
          </w:p>
        </w:tc>
        <w:tc>
          <w:tcPr>
            <w:tcW w:w="3620" w:type="dxa"/>
            <w:vAlign w:val="bottom"/>
          </w:tcPr>
          <w:p>
            <w:pPr>
              <w:spacing w:after="0"/>
              <w:rPr>
                <w:sz w:val="19"/>
                <w:szCs w:val="19"/>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550</w:t>
            </w:r>
          </w:p>
        </w:tc>
        <w:tc>
          <w:tcPr>
            <w:tcW w:w="4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4,410</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2026</w:t>
            </w:r>
          </w:p>
        </w:tc>
        <w:tc>
          <w:tcPr>
            <w:tcW w:w="36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476</w:t>
            </w: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4,433</w:t>
            </w: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2025</w:t>
            </w:r>
          </w:p>
        </w:tc>
        <w:tc>
          <w:tcPr>
            <w:tcW w:w="3620" w:type="dxa"/>
            <w:vAlign w:val="bottom"/>
          </w:tcPr>
          <w:p>
            <w:pPr>
              <w:spacing w:after="0"/>
              <w:rPr>
                <w:sz w:val="19"/>
                <w:szCs w:val="19"/>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737</w:t>
            </w:r>
          </w:p>
        </w:tc>
        <w:tc>
          <w:tcPr>
            <w:tcW w:w="4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4,501</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2025</w:t>
            </w:r>
          </w:p>
        </w:tc>
        <w:tc>
          <w:tcPr>
            <w:tcW w:w="36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380</w:t>
            </w: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4,311</w:t>
            </w: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286,631</w:t>
            </w:r>
          </w:p>
        </w:tc>
      </w:tr>
      <w:tr>
        <w:trPr>
          <w:trHeight w:val="226"/>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(531,330)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(16,794)</w:t>
            </w:r>
          </w:p>
        </w:tc>
      </w:tr>
      <w:tr>
        <w:trPr>
          <w:trHeight w:val="23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79,131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w:t>
            </w:r>
          </w:p>
        </w:tc>
      </w:tr>
      <w:tr>
        <w:trPr>
          <w:trHeight w:val="22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9,033</w:t>
            </w: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280,707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were $840.3 million at September 30, 2026, compared with $1.02 billion at December 31, 2025. The $180.1 million decrease in cash and cash equivalents during the 2026 period was primarily cash used for the acquisition of Locusview and repayment of our 2021 convertible notes, partially offset by net proceeds provided by the 2026 convertible notes sale and cash flow from operations.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during the nine months in 2026 was $275.5 million compared with $286.6 million during the same period in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due to higher net working capital in the current period.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nine months ended September 30, 2026, net cash used in investing activities was $531.3 million compared with $16.8 million in 2025, resulting in additional net outflow of $514.5 million. The change was primarily related to the acquisition of Locusview of $515 million in 2026.</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in 2026 was $79.1 million, compared with $1.8 million for the same period in 2025. The change is due primarily to the sale of 2026 convertible notes, net of debt issuance costs, totaling $784 million, partially offset by the repayment of our 2021 convertible notes of $460 million, common stock repurchased totaling $152.2 million, and the purchase of the capped call for the 2026 convertible offering of $92.8 million.</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Effect of exchange rates on cash and cash equivalents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 of exchange rates on the cash balances of currencies held in foreign denominations at September 30, 2026 is a decrease of $3.4 million, compared with an increase of $9.0 million for the same period in 2025. Our foreign currency exposure relates to non-U.S. dollar denominated balances in our international subsidiary operations.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Free cash flow (Non-GAAP)</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275,545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286,631</w:t>
            </w:r>
          </w:p>
        </w:tc>
      </w:tr>
      <w:tr>
        <w:trPr>
          <w:trHeight w:val="226"/>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(19,540)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(15,077)</w:t>
            </w:r>
          </w:p>
        </w:tc>
      </w:tr>
      <w:tr>
        <w:trPr>
          <w:trHeight w:val="251"/>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Free cash flow</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256,005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271,554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decreased due to higher net working capital and increased spending on property, plant, and equipment. See the cash flow discussion of operating and investing activities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financing agreements or guarantees as defined by Item 303 of Regulation S-K at September 30, 2026 and December 31, 2025 that we believe could reasonably likely have a current or future effect on our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repayments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material capital expenditures and debt obligations, for at least the next 12 months and into the foreseeable future.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September 25, 2025, we entered into a third amended and restated credit agreement (the 2025 credit facility) providing for committed credit facilities in the amount of $750 million. The 2025 credit facility consists of a multi-currency revolving line of credit (the revolver) in the amount of $750 million. The revolver includes a standby letter of credit sub-facility in the amount of $300 million, and a swingline sub-facility in the amount of $50 million. As of September 30, 2026, no amount was outstanding under the 2025 credit facility, and $27.7 million was utilized by outstanding standby letters of credit, resulting in $722.3 million available for borrowing. As of September 30, 2026, $272.3 million was available for additional standby letters of credit under the letter of credit sub-facility, and no amounts were outstanding under the swingline sub-facility. Any outstanding principal under the revolver is due at maturity on September 25, 2030. Principal amounts paid prior to the maturity date may be reborrowed prior to such date. However, that date may be advanced to April 15, 2030 if we do not settle or extend a sufficient portion of our outstanding convertible notes, as detailed in the 2025 credit facility.</w:t>
      </w:r>
    </w:p>
    <w:p>
      <w:pPr>
        <w:spacing w:after="0" w:line="2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June 21, 2024, we closed the sale of $805 million in convertible notes (the 2024 Notes) in a private placement to qualified institutional buyers. These convertible notes accrue interest at a rate of 1.375% per annum, payable semi-annually in arrears on January 15 and July 15 of each year, with the first payment made January 15, 2025. The 2024 Notes will mature on July 15, 2030, unless earlier repurchased, redeemed, or converted in accordance with their terms.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22222"/>
        </w:rPr>
        <w:t>On February 23, 2026, we closed the sale of $805 million of convertible notes (the 2026 Notes) in a private placement to qualified institutional buyers. The 2026 Notes do not bear regular interest. The 2026 Notes will mature on March 15, 2032, unless earlier repurchased, redeemed, or converted in accordance with their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description of our borrowings, refer to Item 1: Financial Statements (Unaudited), Note 6: Debt included in this Quarterly Report on Form 10-Q.</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our letters of credit and performance bonds, and the amounts available for additional borrowings or letters of credit under our lines of credit, including the revolver that is part of our 2025 credit facility, refer to Item 1: Financial Statements (Unaudited), Note 11: Commitments and Contingencies included in this Quarterly Report on Form 10-Q.</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were substantially complete as of March 31, 2025. For the nine months ended September 30, 2026, we paid out $8.0 million related to all our restructuring projects. As of September 30, 2026, $10.6 million was accrued for these restructuring projects, of which $8.2 million is expected to be paid within the next 12 months.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22222"/>
        </w:rPr>
        <w:t>On May 6, 2026, the Company's Board of Directors authorized a new share repurchase program of up to $200 million of Itron's common stock over an 18-month period, effective May 8, 2026 (the 2026 Stock Repurchase Program).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w:t>
      </w:r>
    </w:p>
    <w:p>
      <w:pPr>
        <w:spacing w:after="0" w:line="3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Effective November 10, 2025, Itron's Board of Directors authorized a repurchase up to $250 million of our common stock over an 18-month period (the 2025 Stock Repurchase Program).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In February 2026, Itron repurchased 1,050,309 shares of its common stock for a total of $100 million. </w:t>
      </w:r>
      <w:r>
        <w:rPr>
          <w:rFonts w:ascii="Times New Roman" w:cs="Times New Roman" w:eastAsia="Times New Roman" w:hAnsi="Times New Roman"/>
          <w:sz w:val="18"/>
          <w:szCs w:val="18"/>
          <w:color w:val="222222"/>
        </w:rPr>
        <w:t>During</w:t>
      </w:r>
      <w:r>
        <w:rPr>
          <w:rFonts w:ascii="Times New Roman" w:cs="Times New Roman" w:eastAsia="Times New Roman" w:hAnsi="Times New Roman"/>
          <w:sz w:val="18"/>
          <w:szCs w:val="18"/>
          <w:color w:val="auto"/>
        </w:rPr>
        <w:t xml:space="preserve"> the second quarter of 2026, we repurchased 644,188 shares of common stock for a total of $52.2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Liquidity Considerations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including anticipated impacts of the Act, we expect to pay, net of refunds, $9 million in state taxes and $56 million in local and foreign taxes during 2026. We expect net refunds of approximately $24 million in U.S. federal taxes. For a discussion of our tax provision and unrecognized tax benefits, see Item 1: Financial Statements (Unaudited), Note 10: Income Taxes included in this Quarterly Report on Form 10-Q.</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2026, there was $94.7 million of cash and short-term investments held by certain foreign subsidiaries in which we are permanently reinvested for tax purposes. As a result of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Liquidity Overview</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w:t>
      </w:r>
      <w:r>
        <w:rPr>
          <w:rFonts w:ascii="Times New Roman" w:cs="Times New Roman" w:eastAsia="Times New Roman" w:hAnsi="Times New Roman"/>
          <w:sz w:val="18"/>
          <w:szCs w:val="18"/>
          <w:color w:val="222222"/>
        </w:rPr>
        <w:t>our dependence on certain key vendors and components,</w:t>
      </w:r>
      <w:r>
        <w:rPr>
          <w:rFonts w:ascii="Times New Roman" w:cs="Times New Roman" w:eastAsia="Times New Roman" w:hAnsi="Times New Roman"/>
          <w:sz w:val="18"/>
          <w:szCs w:val="18"/>
          <w:color w:val="auto"/>
        </w:rPr>
        <w:t xml:space="preserve"> changes in estimated liabilities for product warranties and/or litigation, supply constraints, future business combinations, capital market fluctuations, international risks, and other factors described under Part I, Item 1A: Risk Factors of our 2025 Annual Report, as well as Part I, Item 3: Quantitative and Qualitative Disclosures About Market Risk included in this Quarterly Report on Form 10-Q.</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that require the use of estimates and assumptions were discussed in detail in the 2025 Annual Report and have not changed materially.</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adjusted gross profit, adjusted operating income,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depreciation of property, plant, and equipment and certain discrete cash and non-cash charges, such as restructuring, loss on sale of business, strategic initiative expenses,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Non-GAAP operating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operating income </w:t>
      </w:r>
      <w:r>
        <w:rPr>
          <w:rFonts w:ascii="Times New Roman" w:cs="Times New Roman" w:eastAsia="Times New Roman" w:hAnsi="Times New Roman"/>
          <w:sz w:val="18"/>
          <w:szCs w:val="18"/>
          <w:color w:val="auto"/>
        </w:rPr>
        <w:t>– We define non-GAAP operating expenses as operating expenses excluding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amortization of intangible assets, restructuring, loss on sale of business, strategic initiative expenses, and acquisition and integration related expenses. We define non-GAAP operating income as operating income excluding the expenses related to the amortization of intangible assets, restructuring, loss on sale of business, strategic initiative expenses, and acquisition and integration related expenses. Acquisition and integration related expenses include costs, which are incurred to affect and integrate business combinations, such as professional fees; certain employee retention and salaries related to integration; employee severance;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Non-GAAP net income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diluted EPS </w:t>
      </w:r>
      <w:r>
        <w:rPr>
          <w:rFonts w:ascii="Times New Roman" w:cs="Times New Roman" w:eastAsia="Times New Roman" w:hAnsi="Times New Roman"/>
          <w:sz w:val="18"/>
          <w:szCs w:val="18"/>
          <w:color w:val="auto"/>
        </w:rPr>
        <w:t>– We define non-GAAP net income as net income attributable to Itron, Inc. excluding the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amortization of intangible assets, amortization of debt placement fees, restructuring, loss on sale of business, strategic initiative expenses, acquisition and integration related expenses, gain on sale of equity method investment, and the tax effect of excluding these expenses. We define non-GAAP diluted EPS as non-GAAP net income divided by diluted weighted-average shares outstanding during the period calculated on a GAAP basis and then reduced to reflect any anti-dilutive impact of the convertible notes hedge transactions.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going forward for all subsequent interim quarters in the year. We continue to assess the AETR based on latest forecast throughout the year and use the most recent AETR any time it increases or decreases by 200 basis points or more from the prior interim period.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 We define adjusted EBITDA as net income (a) minus interest income and gain on sale of equity method investment, (b) plus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depreciation and amortization, restructuring, loss on sale of business, strategic initiative expenses, acquisition and integration related expenses,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2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 We define free cash flow as net cash provided by operating activities less cash used for acquisitions of property, plant and equipment.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Adjusted gross profit </w:t>
      </w:r>
      <w:r>
        <w:rPr>
          <w:rFonts w:ascii="Times New Roman" w:cs="Times New Roman" w:eastAsia="Times New Roman" w:hAnsi="Times New Roman"/>
          <w:sz w:val="18"/>
          <w:szCs w:val="18"/>
          <w:color w:val="auto"/>
        </w:rPr>
        <w:t>– We define adjusted gross profit as gross profit excluding the amortization expense of core-developed technology intangible assets.</w:t>
      </w: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operating income </w:t>
      </w:r>
      <w:r>
        <w:rPr>
          <w:rFonts w:ascii="Times New Roman" w:cs="Times New Roman" w:eastAsia="Times New Roman" w:hAnsi="Times New Roman"/>
          <w:sz w:val="18"/>
          <w:szCs w:val="18"/>
          <w:color w:val="auto"/>
        </w:rPr>
        <w:t>– We define adjusted operating income as operating income excluding the amortization of core-developed technology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Constant currency </w:t>
      </w:r>
      <w:r>
        <w:rPr>
          <w:rFonts w:ascii="Times New Roman" w:cs="Times New Roman" w:eastAsia="Times New Roman" w:hAnsi="Times New Roman"/>
          <w:sz w:val="18"/>
          <w:szCs w:val="18"/>
          <w:color w:val="auto"/>
        </w:rPr>
        <w:t>– We refer to the impact of foreign currency exchange rate fluctuations in our discussions of financial results, which references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26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EXPENSES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00" w:type="dxa"/>
            <w:vAlign w:val="bottom"/>
            <w:shd w:val="clear" w:color="auto" w:fill="CCEEFF"/>
          </w:tcPr>
          <w:p>
            <w:pPr>
              <w:spacing w:after="0"/>
              <w:rPr>
                <w:sz w:val="20"/>
                <w:szCs w:val="20"/>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operating expenses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149,382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137,762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472,698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425,973</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320" w:type="dxa"/>
            <w:vAlign w:val="bottom"/>
          </w:tcPr>
          <w:p>
            <w:pPr>
              <w:ind w:left="360"/>
              <w:spacing w:after="0" w:line="230"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(13,425)</w:t>
            </w:r>
          </w:p>
        </w:tc>
        <w:tc>
          <w:tcPr>
            <w:tcW w:w="0" w:type="dxa"/>
            <w:vAlign w:val="bottom"/>
          </w:tcPr>
          <w:p>
            <w:pPr>
              <w:spacing w:after="0"/>
              <w:rPr>
                <w:sz w:val="1"/>
                <w:szCs w:val="1"/>
                <w:color w:val="auto"/>
              </w:rPr>
            </w:pPr>
          </w:p>
        </w:tc>
      </w:tr>
      <w:tr>
        <w:trPr>
          <w:trHeight w:val="230"/>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33"/>
        </w:trPr>
        <w:tc>
          <w:tcPr>
            <w:tcW w:w="100" w:type="dxa"/>
            <w:vAlign w:val="bottom"/>
            <w:shd w:val="clear" w:color="auto" w:fill="CCEEFF"/>
          </w:tcPr>
          <w:p>
            <w:pPr>
              <w:spacing w:after="0"/>
              <w:rPr>
                <w:sz w:val="20"/>
                <w:szCs w:val="20"/>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0" w:type="dxa"/>
            <w:vAlign w:val="bottom"/>
          </w:tcPr>
          <w:p>
            <w:pPr>
              <w:spacing w:after="0"/>
              <w:rPr>
                <w:sz w:val="1"/>
                <w:szCs w:val="1"/>
                <w:color w:val="auto"/>
              </w:rPr>
            </w:pPr>
          </w:p>
        </w:tc>
      </w:tr>
      <w:tr>
        <w:trPr>
          <w:trHeight w:val="227"/>
        </w:trPr>
        <w:tc>
          <w:tcPr>
            <w:tcW w:w="10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0" w:type="dxa"/>
            <w:vAlign w:val="bottom"/>
          </w:tcPr>
          <w:p>
            <w:pPr>
              <w:spacing w:after="0"/>
              <w:rPr>
                <w:sz w:val="1"/>
                <w:szCs w:val="1"/>
                <w:color w:val="auto"/>
              </w:rPr>
            </w:pPr>
          </w:p>
        </w:tc>
      </w:tr>
      <w:tr>
        <w:trPr>
          <w:trHeight w:val="251"/>
        </w:trPr>
        <w:tc>
          <w:tcPr>
            <w:tcW w:w="10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408,661</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GAAP operating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95,488</w:t>
            </w:r>
          </w:p>
        </w:tc>
        <w:tc>
          <w:tcPr>
            <w:tcW w:w="120" w:type="dxa"/>
            <w:vAlign w:val="bottom"/>
          </w:tcPr>
          <w:p>
            <w:pPr>
              <w:spacing w:after="0"/>
              <w:rPr>
                <w:sz w:val="19"/>
                <w:szCs w:val="19"/>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81,783</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239,131</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234,409</w:t>
            </w:r>
          </w:p>
        </w:tc>
        <w:tc>
          <w:tcPr>
            <w:tcW w:w="0" w:type="dxa"/>
            <w:vAlign w:val="bottom"/>
          </w:tcPr>
          <w:p>
            <w:pPr>
              <w:spacing w:after="0"/>
              <w:rPr>
                <w:sz w:val="1"/>
                <w:szCs w:val="1"/>
                <w:color w:val="auto"/>
              </w:rPr>
            </w:pPr>
          </w:p>
        </w:tc>
      </w:tr>
      <w:tr>
        <w:trPr>
          <w:trHeight w:val="233"/>
        </w:trPr>
        <w:tc>
          <w:tcPr>
            <w:tcW w:w="100" w:type="dxa"/>
            <w:vAlign w:val="bottom"/>
            <w:shd w:val="clear" w:color="auto" w:fill="CCEEFF"/>
          </w:tcPr>
          <w:p>
            <w:pPr>
              <w:spacing w:after="0"/>
              <w:rPr>
                <w:sz w:val="20"/>
                <w:szCs w:val="20"/>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13,425</w:t>
            </w: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232"/>
        </w:trPr>
        <w:tc>
          <w:tcPr>
            <w:tcW w:w="100" w:type="dxa"/>
            <w:vAlign w:val="bottom"/>
            <w:shd w:val="clear" w:color="auto" w:fill="CCEEFF"/>
          </w:tcPr>
          <w:p>
            <w:pPr>
              <w:spacing w:after="0"/>
              <w:rPr>
                <w:sz w:val="20"/>
                <w:szCs w:val="20"/>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0" w:type="dxa"/>
            <w:vAlign w:val="bottom"/>
          </w:tcPr>
          <w:p>
            <w:pPr>
              <w:spacing w:after="0"/>
              <w:rPr>
                <w:sz w:val="1"/>
                <w:szCs w:val="1"/>
                <w:color w:val="auto"/>
              </w:rPr>
            </w:pPr>
          </w:p>
        </w:tc>
      </w:tr>
      <w:tr>
        <w:trPr>
          <w:trHeight w:val="22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operating income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106,794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280,303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251,721</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 &amp; DILUTED EPS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00" w:type="dxa"/>
            <w:vAlign w:val="bottom"/>
            <w:shd w:val="clear" w:color="auto" w:fill="CCEEFF"/>
          </w:tcPr>
          <w:p>
            <w:pPr>
              <w:spacing w:after="0"/>
              <w:rPr>
                <w:sz w:val="20"/>
                <w:szCs w:val="20"/>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net income attributable to Itron, Inc.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71,369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65,613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199,427</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13,425</w:t>
            </w:r>
          </w:p>
        </w:tc>
        <w:tc>
          <w:tcPr>
            <w:tcW w:w="0" w:type="dxa"/>
            <w:vAlign w:val="bottom"/>
          </w:tcPr>
          <w:p>
            <w:pPr>
              <w:spacing w:after="0"/>
              <w:rPr>
                <w:sz w:val="1"/>
                <w:szCs w:val="1"/>
                <w:color w:val="auto"/>
              </w:rPr>
            </w:pPr>
          </w:p>
        </w:tc>
      </w:tr>
      <w:tr>
        <w:trPr>
          <w:trHeight w:val="233"/>
        </w:trPr>
        <w:tc>
          <w:tcPr>
            <w:tcW w:w="100" w:type="dxa"/>
            <w:vAlign w:val="bottom"/>
            <w:shd w:val="clear" w:color="auto" w:fill="CCEEFF"/>
          </w:tcPr>
          <w:p>
            <w:pPr>
              <w:spacing w:after="0"/>
              <w:rPr>
                <w:sz w:val="20"/>
                <w:szCs w:val="20"/>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placement fees</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5,271</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233"/>
        </w:trPr>
        <w:tc>
          <w:tcPr>
            <w:tcW w:w="100" w:type="dxa"/>
            <w:vAlign w:val="bottom"/>
            <w:shd w:val="clear" w:color="auto" w:fill="CCEEFF"/>
          </w:tcPr>
          <w:p>
            <w:pPr>
              <w:spacing w:after="0"/>
              <w:rPr>
                <w:sz w:val="20"/>
                <w:szCs w:val="20"/>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0" w:type="dxa"/>
            <w:vAlign w:val="bottom"/>
          </w:tcPr>
          <w:p>
            <w:pPr>
              <w:spacing w:after="0"/>
              <w:rPr>
                <w:sz w:val="1"/>
                <w:szCs w:val="1"/>
                <w:color w:val="auto"/>
              </w:rPr>
            </w:pPr>
          </w:p>
        </w:tc>
      </w:tr>
      <w:tr>
        <w:trPr>
          <w:trHeight w:val="233"/>
        </w:trPr>
        <w:tc>
          <w:tcPr>
            <w:tcW w:w="100" w:type="dxa"/>
            <w:vAlign w:val="bottom"/>
            <w:shd w:val="clear" w:color="auto" w:fill="CCEEFF"/>
          </w:tcPr>
          <w:p>
            <w:pPr>
              <w:spacing w:after="0"/>
              <w:rPr>
                <w:sz w:val="20"/>
                <w:szCs w:val="20"/>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sale of equity method investment</w:t>
            </w:r>
          </w:p>
        </w:tc>
        <w:tc>
          <w:tcPr>
            <w:tcW w:w="2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0" w:type="dxa"/>
            <w:vAlign w:val="bottom"/>
          </w:tcPr>
          <w:p>
            <w:pPr>
              <w:spacing w:after="0"/>
              <w:rPr>
                <w:sz w:val="1"/>
                <w:szCs w:val="1"/>
                <w:color w:val="auto"/>
              </w:rPr>
            </w:pPr>
          </w:p>
        </w:tc>
      </w:tr>
      <w:tr>
        <w:trPr>
          <w:trHeight w:val="22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(4,974)</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86,333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224,752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217,036</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diluted EPS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GAAP weighted average common shares outstanding - Diluted</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46,405</w:t>
            </w:r>
          </w:p>
        </w:tc>
        <w:tc>
          <w:tcPr>
            <w:tcW w:w="0" w:type="dxa"/>
            <w:vAlign w:val="bottom"/>
          </w:tcPr>
          <w:p>
            <w:pPr>
              <w:spacing w:after="0"/>
              <w:rPr>
                <w:sz w:val="1"/>
                <w:szCs w:val="1"/>
                <w:color w:val="auto"/>
              </w:rPr>
            </w:pPr>
          </w:p>
        </w:tc>
      </w:tr>
      <w:tr>
        <w:trPr>
          <w:trHeight w:val="232"/>
        </w:trPr>
        <w:tc>
          <w:tcPr>
            <w:tcW w:w="100" w:type="dxa"/>
            <w:vAlign w:val="bottom"/>
            <w:shd w:val="clear" w:color="auto" w:fill="CCEEFF"/>
          </w:tcPr>
          <w:p>
            <w:pPr>
              <w:spacing w:after="0"/>
              <w:rPr>
                <w:sz w:val="20"/>
                <w:szCs w:val="20"/>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call option transaction - 2021 Notes</w:t>
            </w:r>
          </w:p>
        </w:tc>
        <w:tc>
          <w:tcPr>
            <w:tcW w:w="2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4320" w:type="dxa"/>
            <w:vAlign w:val="bottom"/>
          </w:tcPr>
          <w:p>
            <w:pPr>
              <w:ind w:left="200"/>
              <w:spacing w:after="0" w:line="155" w:lineRule="exact"/>
              <w:rPr>
                <w:sz w:val="20"/>
                <w:szCs w:val="20"/>
                <w:color w:val="auto"/>
              </w:rPr>
            </w:pPr>
            <w:r>
              <w:rPr>
                <w:rFonts w:ascii="Times New Roman" w:cs="Times New Roman" w:eastAsia="Times New Roman" w:hAnsi="Times New Roman"/>
                <w:sz w:val="16"/>
                <w:szCs w:val="16"/>
                <w:color w:val="auto"/>
              </w:rPr>
              <w:t>Non-GAAP weighted average common shares outstanding -</w:t>
            </w: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44,411</w:t>
            </w: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46,626</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44,827</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46,394</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26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3"/>
        </w:trPr>
        <w:tc>
          <w:tcPr>
            <w:tcW w:w="44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2"/>
        </w:trPr>
        <w:tc>
          <w:tcPr>
            <w:tcW w:w="4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GAAP net income attributable to Itron, Inc.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71,369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65,613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199,427</w:t>
            </w:r>
          </w:p>
        </w:tc>
      </w:tr>
      <w:tr>
        <w:trPr>
          <w:trHeight w:val="227"/>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(37,582)</w:t>
            </w:r>
          </w:p>
        </w:tc>
      </w:tr>
      <w:tr>
        <w:trPr>
          <w:trHeight w:val="233"/>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16,888</w:t>
            </w:r>
          </w:p>
        </w:tc>
      </w:tr>
      <w:tr>
        <w:trPr>
          <w:trHeight w:val="226"/>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 provision</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56,137</w:t>
            </w:r>
          </w:p>
        </w:tc>
      </w:tr>
      <w:tr>
        <w:trPr>
          <w:trHeight w:val="233"/>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36,221</w:t>
            </w:r>
          </w:p>
        </w:tc>
      </w:tr>
      <w:tr>
        <w:trPr>
          <w:trHeight w:val="227"/>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r>
      <w:tr>
        <w:trPr>
          <w:trHeight w:val="232"/>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27"/>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Strategic initiative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r>
      <w:tr>
        <w:trPr>
          <w:trHeight w:val="233"/>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r>
      <w:tr>
        <w:trPr>
          <w:trHeight w:val="227"/>
        </w:trPr>
        <w:tc>
          <w:tcPr>
            <w:tcW w:w="4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Gain on sale of equity method investment</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1"/>
        </w:trPr>
        <w:tc>
          <w:tcPr>
            <w:tcW w:w="442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274,978</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6"/>
        </w:trPr>
        <w:tc>
          <w:tcPr>
            <w:tcW w:w="4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101,953</w:t>
            </w:r>
          </w:p>
        </w:tc>
        <w:tc>
          <w:tcPr>
            <w:tcW w:w="120" w:type="dxa"/>
            <w:vAlign w:val="bottom"/>
          </w:tcPr>
          <w:p>
            <w:pPr>
              <w:spacing w:after="0"/>
              <w:rPr>
                <w:sz w:val="19"/>
                <w:szCs w:val="19"/>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117,829</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275,545</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286,631</w:t>
            </w:r>
          </w:p>
        </w:tc>
      </w:tr>
      <w:tr>
        <w:trPr>
          <w:trHeight w:val="230"/>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(15,077)</w:t>
            </w:r>
          </w:p>
        </w:tc>
      </w:tr>
      <w:tr>
        <w:trPr>
          <w:trHeight w:val="226"/>
        </w:trPr>
        <w:tc>
          <w:tcPr>
            <w:tcW w:w="4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Free Cash Flow</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95,545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113,408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256,005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271,554</w:t>
            </w:r>
          </w:p>
        </w:tc>
      </w:tr>
      <w:tr>
        <w:trPr>
          <w:trHeight w:val="21"/>
        </w:trPr>
        <w:tc>
          <w:tcPr>
            <w:tcW w:w="4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amortization of core-developed technology intangible assets.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reconcile the non-GAAP financial measure of adjusted gross profit with the most directly comparable GAAP financial measure.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6"/>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Networked Solutions</w:t>
            </w:r>
          </w:p>
        </w:tc>
        <w:tc>
          <w:tcPr>
            <w:tcW w:w="26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Resiliency Solutions</w:t>
            </w:r>
          </w:p>
        </w:tc>
        <w:tc>
          <w:tcPr>
            <w:tcW w:w="1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Segments Subtotal</w:t>
            </w:r>
          </w:p>
        </w:tc>
        <w:tc>
          <w:tcPr>
            <w:tcW w:w="0" w:type="dxa"/>
            <w:vAlign w:val="bottom"/>
          </w:tcPr>
          <w:p>
            <w:pPr>
              <w:spacing w:after="0"/>
              <w:rPr>
                <w:sz w:val="1"/>
                <w:szCs w:val="1"/>
                <w:color w:val="auto"/>
              </w:rPr>
            </w:pPr>
          </w:p>
        </w:tc>
      </w:tr>
      <w:tr>
        <w:trPr>
          <w:trHeight w:val="226"/>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101,520</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389,502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92,241</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16,070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599,333</w:t>
            </w:r>
          </w:p>
        </w:tc>
        <w:tc>
          <w:tcPr>
            <w:tcW w:w="0" w:type="dxa"/>
            <w:vAlign w:val="bottom"/>
          </w:tcPr>
          <w:p>
            <w:pPr>
              <w:spacing w:after="0"/>
              <w:rPr>
                <w:sz w:val="1"/>
                <w:szCs w:val="1"/>
                <w:color w:val="auto"/>
              </w:rPr>
            </w:pPr>
          </w:p>
        </w:tc>
      </w:tr>
      <w:tr>
        <w:trPr>
          <w:trHeight w:val="226"/>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12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65,620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226,817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55,964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354,463</w:t>
            </w:r>
          </w:p>
        </w:tc>
        <w:tc>
          <w:tcPr>
            <w:tcW w:w="0" w:type="dxa"/>
            <w:vAlign w:val="bottom"/>
          </w:tcPr>
          <w:p>
            <w:pPr>
              <w:spacing w:after="0"/>
              <w:rPr>
                <w:sz w:val="1"/>
                <w:szCs w:val="1"/>
                <w:color w:val="auto"/>
              </w:rPr>
            </w:pPr>
          </w:p>
        </w:tc>
      </w:tr>
      <w:tr>
        <w:trPr>
          <w:trHeight w:val="23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35,900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162,685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36,277</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244,870</w:t>
            </w:r>
          </w:p>
        </w:tc>
        <w:tc>
          <w:tcPr>
            <w:tcW w:w="0" w:type="dxa"/>
            <w:vAlign w:val="bottom"/>
          </w:tcPr>
          <w:p>
            <w:pPr>
              <w:spacing w:after="0"/>
              <w:rPr>
                <w:sz w:val="1"/>
                <w:szCs w:val="1"/>
                <w:color w:val="auto"/>
              </w:rPr>
            </w:pPr>
          </w:p>
        </w:tc>
      </w:tr>
      <w:tr>
        <w:trPr>
          <w:trHeight w:val="22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39.3 %</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40.9 %</w:t>
            </w:r>
          </w:p>
        </w:tc>
        <w:tc>
          <w:tcPr>
            <w:tcW w:w="0" w:type="dxa"/>
            <w:vAlign w:val="bottom"/>
          </w:tcPr>
          <w:p>
            <w:pPr>
              <w:spacing w:after="0"/>
              <w:rPr>
                <w:sz w:val="1"/>
                <w:szCs w:val="1"/>
                <w:color w:val="auto"/>
              </w:rPr>
            </w:pPr>
          </w:p>
        </w:tc>
      </w:tr>
      <w:tr>
        <w:trPr>
          <w:trHeight w:val="178"/>
        </w:trPr>
        <w:tc>
          <w:tcPr>
            <w:tcW w:w="34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Amortization of core-developed technology</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1,945</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2,570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vMerge w:val="continue"/>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12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35,900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162,685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36,902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247,440</w:t>
            </w:r>
          </w:p>
        </w:tc>
        <w:tc>
          <w:tcPr>
            <w:tcW w:w="0" w:type="dxa"/>
            <w:vAlign w:val="bottom"/>
          </w:tcPr>
          <w:p>
            <w:pPr>
              <w:spacing w:after="0"/>
              <w:rPr>
                <w:sz w:val="1"/>
                <w:szCs w:val="1"/>
                <w:color w:val="auto"/>
              </w:rPr>
            </w:pPr>
          </w:p>
        </w:tc>
      </w:tr>
      <w:tr>
        <w:trPr>
          <w:trHeight w:val="23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margin</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41.3 %</w:t>
            </w:r>
          </w:p>
        </w:tc>
        <w:tc>
          <w:tcPr>
            <w:tcW w:w="0" w:type="dxa"/>
            <w:vAlign w:val="bottom"/>
          </w:tcPr>
          <w:p>
            <w:pPr>
              <w:spacing w:after="0"/>
              <w:rPr>
                <w:sz w:val="1"/>
                <w:szCs w:val="1"/>
                <w:color w:val="auto"/>
              </w:rPr>
            </w:pP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Networked Solutions</w:t>
            </w:r>
          </w:p>
        </w:tc>
        <w:tc>
          <w:tcPr>
            <w:tcW w:w="26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1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Segments Subtotal</w:t>
            </w:r>
          </w:p>
        </w:tc>
        <w:tc>
          <w:tcPr>
            <w:tcW w:w="0" w:type="dxa"/>
            <w:vAlign w:val="bottom"/>
          </w:tcPr>
          <w:p>
            <w:pPr>
              <w:spacing w:after="0"/>
              <w:rPr>
                <w:sz w:val="1"/>
                <w:szCs w:val="1"/>
                <w:color w:val="auto"/>
              </w:rPr>
            </w:pPr>
          </w:p>
        </w:tc>
      </w:tr>
      <w:tr>
        <w:trPr>
          <w:trHeight w:val="226"/>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103,622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393,702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84,301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581,625</w:t>
            </w:r>
          </w:p>
        </w:tc>
        <w:tc>
          <w:tcPr>
            <w:tcW w:w="0" w:type="dxa"/>
            <w:vAlign w:val="bottom"/>
          </w:tcPr>
          <w:p>
            <w:pPr>
              <w:spacing w:after="0"/>
              <w:rPr>
                <w:sz w:val="1"/>
                <w:szCs w:val="1"/>
                <w:color w:val="auto"/>
              </w:rPr>
            </w:pPr>
          </w:p>
        </w:tc>
      </w:tr>
      <w:tr>
        <w:trPr>
          <w:trHeight w:val="22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12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71,615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238,941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51,524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362,080</w:t>
            </w:r>
          </w:p>
        </w:tc>
        <w:tc>
          <w:tcPr>
            <w:tcW w:w="0" w:type="dxa"/>
            <w:vAlign w:val="bottom"/>
          </w:tcPr>
          <w:p>
            <w:pPr>
              <w:spacing w:after="0"/>
              <w:rPr>
                <w:sz w:val="1"/>
                <w:szCs w:val="1"/>
                <w:color w:val="auto"/>
              </w:rPr>
            </w:pPr>
          </w:p>
        </w:tc>
      </w:tr>
      <w:tr>
        <w:trPr>
          <w:trHeight w:val="232"/>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32,007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154,761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32,777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219,545</w:t>
            </w:r>
          </w:p>
        </w:tc>
        <w:tc>
          <w:tcPr>
            <w:tcW w:w="0" w:type="dxa"/>
            <w:vAlign w:val="bottom"/>
          </w:tcPr>
          <w:p>
            <w:pPr>
              <w:spacing w:after="0"/>
              <w:rPr>
                <w:sz w:val="1"/>
                <w:szCs w:val="1"/>
                <w:color w:val="auto"/>
              </w:rPr>
            </w:pPr>
          </w:p>
        </w:tc>
      </w:tr>
      <w:tr>
        <w:trPr>
          <w:trHeight w:val="22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37.7 %</w:t>
            </w:r>
          </w:p>
        </w:tc>
        <w:tc>
          <w:tcPr>
            <w:tcW w:w="0" w:type="dxa"/>
            <w:vAlign w:val="bottom"/>
          </w:tcPr>
          <w:p>
            <w:pPr>
              <w:spacing w:after="0"/>
              <w:rPr>
                <w:sz w:val="1"/>
                <w:szCs w:val="1"/>
                <w:color w:val="auto"/>
              </w:rPr>
            </w:pPr>
          </w:p>
        </w:tc>
      </w:tr>
      <w:tr>
        <w:trPr>
          <w:trHeight w:val="178"/>
        </w:trPr>
        <w:tc>
          <w:tcPr>
            <w:tcW w:w="34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Amortization of core-developed technology</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vMerge w:val="continue"/>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12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32,007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154,761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32,777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219,545</w:t>
            </w:r>
          </w:p>
        </w:tc>
        <w:tc>
          <w:tcPr>
            <w:tcW w:w="0" w:type="dxa"/>
            <w:vAlign w:val="bottom"/>
          </w:tcPr>
          <w:p>
            <w:pPr>
              <w:spacing w:after="0"/>
              <w:rPr>
                <w:sz w:val="1"/>
                <w:szCs w:val="1"/>
                <w:color w:val="auto"/>
              </w:rPr>
            </w:pPr>
          </w:p>
        </w:tc>
      </w:tr>
      <w:tr>
        <w:trPr>
          <w:trHeight w:val="232"/>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margin</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30.9 %</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37.7 %</w:t>
            </w:r>
          </w:p>
        </w:tc>
        <w:tc>
          <w:tcPr>
            <w:tcW w:w="0" w:type="dxa"/>
            <w:vAlign w:val="bottom"/>
          </w:tcPr>
          <w:p>
            <w:pPr>
              <w:spacing w:after="0"/>
              <w:rPr>
                <w:sz w:val="1"/>
                <w:szCs w:val="1"/>
                <w:color w:val="auto"/>
              </w:rPr>
            </w:pP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6"/>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Networked Solutions</w:t>
            </w:r>
          </w:p>
        </w:tc>
        <w:tc>
          <w:tcPr>
            <w:tcW w:w="26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Resiliency Solutions</w:t>
            </w:r>
          </w:p>
        </w:tc>
        <w:tc>
          <w:tcPr>
            <w:tcW w:w="1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Segments Subtotal</w:t>
            </w:r>
          </w:p>
        </w:tc>
        <w:tc>
          <w:tcPr>
            <w:tcW w:w="0" w:type="dxa"/>
            <w:vAlign w:val="bottom"/>
          </w:tcPr>
          <w:p>
            <w:pPr>
              <w:spacing w:after="0"/>
              <w:rPr>
                <w:sz w:val="1"/>
                <w:szCs w:val="1"/>
                <w:color w:val="auto"/>
              </w:rPr>
            </w:pPr>
          </w:p>
        </w:tc>
      </w:tr>
      <w:tr>
        <w:trPr>
          <w:trHeight w:val="226"/>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337,342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1,079,403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284,550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47,922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1,749,217</w:t>
            </w:r>
          </w:p>
        </w:tc>
        <w:tc>
          <w:tcPr>
            <w:tcW w:w="0" w:type="dxa"/>
            <w:vAlign w:val="bottom"/>
          </w:tcPr>
          <w:p>
            <w:pPr>
              <w:spacing w:after="0"/>
              <w:rPr>
                <w:sz w:val="1"/>
                <w:szCs w:val="1"/>
                <w:color w:val="auto"/>
              </w:rPr>
            </w:pPr>
          </w:p>
        </w:tc>
      </w:tr>
      <w:tr>
        <w:trPr>
          <w:trHeight w:val="22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12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218,664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628,491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172,119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18,114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1,037,388</w:t>
            </w:r>
          </w:p>
        </w:tc>
        <w:tc>
          <w:tcPr>
            <w:tcW w:w="0" w:type="dxa"/>
            <w:vAlign w:val="bottom"/>
          </w:tcPr>
          <w:p>
            <w:pPr>
              <w:spacing w:after="0"/>
              <w:rPr>
                <w:sz w:val="1"/>
                <w:szCs w:val="1"/>
                <w:color w:val="auto"/>
              </w:rPr>
            </w:pPr>
          </w:p>
        </w:tc>
      </w:tr>
      <w:tr>
        <w:trPr>
          <w:trHeight w:val="232"/>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118,678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450,912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112,431</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29,808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711,829</w:t>
            </w:r>
          </w:p>
        </w:tc>
        <w:tc>
          <w:tcPr>
            <w:tcW w:w="0" w:type="dxa"/>
            <w:vAlign w:val="bottom"/>
          </w:tcPr>
          <w:p>
            <w:pPr>
              <w:spacing w:after="0"/>
              <w:rPr>
                <w:sz w:val="1"/>
                <w:szCs w:val="1"/>
                <w:color w:val="auto"/>
              </w:rPr>
            </w:pPr>
          </w:p>
        </w:tc>
      </w:tr>
      <w:tr>
        <w:trPr>
          <w:trHeight w:val="226"/>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39.5 %</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40.7 %</w:t>
            </w:r>
          </w:p>
        </w:tc>
        <w:tc>
          <w:tcPr>
            <w:tcW w:w="0" w:type="dxa"/>
            <w:vAlign w:val="bottom"/>
          </w:tcPr>
          <w:p>
            <w:pPr>
              <w:spacing w:after="0"/>
              <w:rPr>
                <w:sz w:val="1"/>
                <w:szCs w:val="1"/>
                <w:color w:val="auto"/>
              </w:rPr>
            </w:pPr>
          </w:p>
        </w:tc>
      </w:tr>
      <w:tr>
        <w:trPr>
          <w:trHeight w:val="179"/>
        </w:trPr>
        <w:tc>
          <w:tcPr>
            <w:tcW w:w="34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Amortization of core-developed technology</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1,875</w:t>
            </w: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5,760</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7,635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vMerge w:val="continue"/>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12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118,678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450,912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114,306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35,568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719,464</w:t>
            </w:r>
          </w:p>
        </w:tc>
        <w:tc>
          <w:tcPr>
            <w:tcW w:w="0" w:type="dxa"/>
            <w:vAlign w:val="bottom"/>
          </w:tcPr>
          <w:p>
            <w:pPr>
              <w:spacing w:after="0"/>
              <w:rPr>
                <w:sz w:val="1"/>
                <w:szCs w:val="1"/>
                <w:color w:val="auto"/>
              </w:rPr>
            </w:pPr>
          </w:p>
        </w:tc>
      </w:tr>
      <w:tr>
        <w:trPr>
          <w:trHeight w:val="23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margin</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35.2 %</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40.2 %</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41.1 %</w:t>
            </w:r>
          </w:p>
        </w:tc>
        <w:tc>
          <w:tcPr>
            <w:tcW w:w="0" w:type="dxa"/>
            <w:vAlign w:val="bottom"/>
          </w:tcPr>
          <w:p>
            <w:pPr>
              <w:spacing w:after="0"/>
              <w:rPr>
                <w:sz w:val="1"/>
                <w:szCs w:val="1"/>
                <w:color w:val="auto"/>
              </w:rPr>
            </w:pP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Networked Solutions</w:t>
            </w:r>
          </w:p>
        </w:tc>
        <w:tc>
          <w:tcPr>
            <w:tcW w:w="26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1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Segments Subtotal</w:t>
            </w:r>
          </w:p>
        </w:tc>
        <w:tc>
          <w:tcPr>
            <w:tcW w:w="0" w:type="dxa"/>
            <w:vAlign w:val="bottom"/>
          </w:tcPr>
          <w:p>
            <w:pPr>
              <w:spacing w:after="0"/>
              <w:rPr>
                <w:sz w:val="1"/>
                <w:szCs w:val="1"/>
                <w:color w:val="auto"/>
              </w:rPr>
            </w:pPr>
          </w:p>
        </w:tc>
      </w:tr>
      <w:tr>
        <w:trPr>
          <w:trHeight w:val="226"/>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342,253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1,205,368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247,916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1,795,537</w:t>
            </w:r>
          </w:p>
        </w:tc>
        <w:tc>
          <w:tcPr>
            <w:tcW w:w="0" w:type="dxa"/>
            <w:vAlign w:val="bottom"/>
          </w:tcPr>
          <w:p>
            <w:pPr>
              <w:spacing w:after="0"/>
              <w:rPr>
                <w:sz w:val="1"/>
                <w:szCs w:val="1"/>
                <w:color w:val="auto"/>
              </w:rPr>
            </w:pPr>
          </w:p>
        </w:tc>
      </w:tr>
      <w:tr>
        <w:trPr>
          <w:trHeight w:val="226"/>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12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238,902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744,650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151,603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1,135,155</w:t>
            </w:r>
          </w:p>
        </w:tc>
        <w:tc>
          <w:tcPr>
            <w:tcW w:w="0" w:type="dxa"/>
            <w:vAlign w:val="bottom"/>
          </w:tcPr>
          <w:p>
            <w:pPr>
              <w:spacing w:after="0"/>
              <w:rPr>
                <w:sz w:val="1"/>
                <w:szCs w:val="1"/>
                <w:color w:val="auto"/>
              </w:rPr>
            </w:pPr>
          </w:p>
        </w:tc>
      </w:tr>
      <w:tr>
        <w:trPr>
          <w:trHeight w:val="23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103,351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460,718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96,313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660,382</w:t>
            </w:r>
          </w:p>
        </w:tc>
        <w:tc>
          <w:tcPr>
            <w:tcW w:w="0" w:type="dxa"/>
            <w:vAlign w:val="bottom"/>
          </w:tcPr>
          <w:p>
            <w:pPr>
              <w:spacing w:after="0"/>
              <w:rPr>
                <w:sz w:val="1"/>
                <w:szCs w:val="1"/>
                <w:color w:val="auto"/>
              </w:rPr>
            </w:pPr>
          </w:p>
        </w:tc>
      </w:tr>
      <w:tr>
        <w:trPr>
          <w:trHeight w:val="22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36.8 %</w:t>
            </w:r>
          </w:p>
        </w:tc>
        <w:tc>
          <w:tcPr>
            <w:tcW w:w="0" w:type="dxa"/>
            <w:vAlign w:val="bottom"/>
          </w:tcPr>
          <w:p>
            <w:pPr>
              <w:spacing w:after="0"/>
              <w:rPr>
                <w:sz w:val="1"/>
                <w:szCs w:val="1"/>
                <w:color w:val="auto"/>
              </w:rPr>
            </w:pPr>
          </w:p>
        </w:tc>
      </w:tr>
      <w:tr>
        <w:trPr>
          <w:trHeight w:val="178"/>
        </w:trPr>
        <w:tc>
          <w:tcPr>
            <w:tcW w:w="34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Amortization of core-developed technology</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vMerge w:val="continue"/>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12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103,351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460,718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96,313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660,382</w:t>
            </w:r>
          </w:p>
        </w:tc>
        <w:tc>
          <w:tcPr>
            <w:tcW w:w="0" w:type="dxa"/>
            <w:vAlign w:val="bottom"/>
          </w:tcPr>
          <w:p>
            <w:pPr>
              <w:spacing w:after="0"/>
              <w:rPr>
                <w:sz w:val="1"/>
                <w:szCs w:val="1"/>
                <w:color w:val="auto"/>
              </w:rPr>
            </w:pPr>
          </w:p>
        </w:tc>
      </w:tr>
      <w:tr>
        <w:trPr>
          <w:trHeight w:val="23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margin</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30.2 %</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may be exposed to interest rate risk through variable rate debt instruments, namely the multicurrency revolving line of credit. At September 30, 2026, we had no outstanding variable rate debt.</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continually monitor and assess our interest rate risk and may institute additional interest rate swaps or other derivative instruments to manage such risk in the future if we were to have variable rate debt outstanding.</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a number of countries. Revenues denominated in functional currencies other than the U.S. dollar were 21% and 25% of total revenues for the three and nine months ended September 30, 2026 compared with 23% and 24% for the same respective period in 2025.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September 30, 2026, a total of 35 contracts were offsetting our exposures from the euro, pound sterling, Indonesian rupiah, Canadian dollar, Australian dollar, and various other currencies, with notional amounts ranging from $111,975 to $25.4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September 30, 2026,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September 30, 2026 that materially affected, or are reasonably likely to materially affect,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complete list of Risk Factors, refer to Part I, Item 1A: Risk Factors of our Annual Report on Form 10-K for the fiscal year ended December 31, 2025, which was filed with the Securities and Exchange Commission on February 17, 2026.</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0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Repurchase of Equity Securities.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Maximum Dollar</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15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8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May Yet Be</w:t>
            </w:r>
          </w:p>
        </w:tc>
        <w:tc>
          <w:tcPr>
            <w:tcW w:w="0" w:type="dxa"/>
            <w:vAlign w:val="bottom"/>
          </w:tcPr>
          <w:p>
            <w:pPr>
              <w:spacing w:after="0"/>
              <w:rPr>
                <w:sz w:val="1"/>
                <w:szCs w:val="1"/>
                <w:color w:val="auto"/>
              </w:rPr>
            </w:pPr>
          </w:p>
        </w:tc>
      </w:tr>
      <w:tr>
        <w:trPr>
          <w:trHeight w:val="162"/>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00" w:type="dxa"/>
            <w:vAlign w:val="bottom"/>
            <w:gridSpan w:val="3"/>
          </w:tcPr>
          <w:p>
            <w:pPr>
              <w:jc w:val="center"/>
              <w:ind w:right="240"/>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8"/>
                <w:szCs w:val="18"/>
                <w:b w:val="1"/>
                <w:bCs w:val="1"/>
                <w:color w:val="auto"/>
                <w:vertAlign w:val="superscript"/>
              </w:rPr>
              <w:t>(1)(2)</w:t>
            </w:r>
          </w:p>
        </w:tc>
        <w:tc>
          <w:tcPr>
            <w:tcW w:w="1580" w:type="dxa"/>
            <w:vAlign w:val="bottom"/>
            <w:gridSpan w:val="2"/>
            <w:vMerge w:val="continue"/>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15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162"/>
        </w:trPr>
        <w:tc>
          <w:tcPr>
            <w:tcW w:w="4600" w:type="dxa"/>
            <w:vAlign w:val="bottom"/>
            <w:vMerge w:val="continue"/>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per Share </w:t>
            </w:r>
            <w:r>
              <w:rPr>
                <w:rFonts w:ascii="Times New Roman" w:cs="Times New Roman" w:eastAsia="Times New Roman" w:hAnsi="Times New Roman"/>
                <w:sz w:val="18"/>
                <w:szCs w:val="18"/>
                <w:b w:val="1"/>
                <w:bCs w:val="1"/>
                <w:color w:val="auto"/>
                <w:vertAlign w:val="superscript"/>
              </w:rPr>
              <w:t>(3)</w:t>
            </w: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Plans or Programs</w:t>
            </w:r>
          </w:p>
        </w:tc>
        <w:tc>
          <w:tcPr>
            <w:tcW w:w="0" w:type="dxa"/>
            <w:vAlign w:val="bottom"/>
          </w:tcPr>
          <w:p>
            <w:pPr>
              <w:spacing w:after="0"/>
              <w:rPr>
                <w:sz w:val="1"/>
                <w:szCs w:val="1"/>
                <w:color w:val="auto"/>
              </w:rPr>
            </w:pPr>
          </w:p>
        </w:tc>
      </w:tr>
      <w:tr>
        <w:trPr>
          <w:trHeight w:val="220"/>
        </w:trPr>
        <w:tc>
          <w:tcPr>
            <w:tcW w:w="46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3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2026 through July 31, 2026</w:t>
            </w:r>
          </w:p>
        </w:tc>
        <w:tc>
          <w:tcPr>
            <w:tcW w:w="180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297,766</w:t>
            </w:r>
          </w:p>
        </w:tc>
        <w:tc>
          <w:tcPr>
            <w:tcW w:w="0" w:type="dxa"/>
            <w:vAlign w:val="bottom"/>
          </w:tcPr>
          <w:p>
            <w:pPr>
              <w:spacing w:after="0"/>
              <w:rPr>
                <w:sz w:val="1"/>
                <w:szCs w:val="1"/>
                <w:color w:val="auto"/>
              </w:rPr>
            </w:pPr>
          </w:p>
        </w:tc>
      </w:tr>
      <w:tr>
        <w:trPr>
          <w:trHeight w:val="227"/>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2026 through August 31, 2026</w:t>
            </w:r>
          </w:p>
        </w:tc>
        <w:tc>
          <w:tcPr>
            <w:tcW w:w="1800" w:type="dxa"/>
            <w:vAlign w:val="bottom"/>
            <w:gridSpan w:val="3"/>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297,766</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2026 through September 30, 2026</w:t>
            </w:r>
          </w:p>
        </w:tc>
        <w:tc>
          <w:tcPr>
            <w:tcW w:w="158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spacing w:after="0"/>
              <w:rPr>
                <w:sz w:val="19"/>
                <w:szCs w:val="19"/>
                <w:color w:val="auto"/>
              </w:rPr>
            </w:pP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297,766</w:t>
            </w:r>
          </w:p>
        </w:tc>
        <w:tc>
          <w:tcPr>
            <w:tcW w:w="0" w:type="dxa"/>
            <w:vAlign w:val="bottom"/>
          </w:tcPr>
          <w:p>
            <w:pPr>
              <w:spacing w:after="0"/>
              <w:rPr>
                <w:sz w:val="1"/>
                <w:szCs w:val="1"/>
                <w:color w:val="auto"/>
              </w:rPr>
            </w:pPr>
          </w:p>
        </w:tc>
      </w:tr>
      <w:tr>
        <w:trPr>
          <w:trHeight w:val="226"/>
        </w:trPr>
        <w:tc>
          <w:tcPr>
            <w:tcW w:w="4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0" w:type="dxa"/>
            <w:vAlign w:val="bottom"/>
            <w:gridSpan w:val="3"/>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November 10, 2025, Itron's Board of Directors authorized a repurchase program of up to $250 million of Itron's common stock over an 18-month period.</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May 8, 2026, Itron's Board of Directors authorized a repurchase program of up to $200 million of Itron's common stock over an 18-month period.</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commissions.</w:t>
      </w:r>
    </w:p>
    <w:p>
      <w:pPr>
        <w:spacing w:after="0" w:line="64" w:lineRule="exact"/>
        <w:rPr>
          <w:rFonts w:ascii="Times New Roman" w:cs="Times New Roman" w:eastAsia="Times New Roman" w:hAnsi="Times New Roman"/>
          <w:sz w:val="21"/>
          <w:szCs w:val="21"/>
          <w:color w:val="auto"/>
          <w:vertAlign w:val="superscript"/>
        </w:rPr>
      </w:pPr>
    </w:p>
    <w:p>
      <w:pPr>
        <w:ind w:left="340" w:hanging="332"/>
        <w:spacing w:after="0" w:line="215" w:lineRule="auto"/>
        <w:tabs>
          <w:tab w:leader="none" w:pos="32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Shares purchased may include shares transferred to us by certain employees who vested in restricted stock units and used shares to pay all, or a portion of, the related taxes.</w:t>
      </w:r>
    </w:p>
    <w:p>
      <w:pPr>
        <w:spacing w:after="0" w:line="22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94"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was required to be disclosed in a report on Form 8-K during the third quarter of 2026 that was not reported.</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w:t>
      </w:r>
    </w:p>
    <w:p>
      <w:pPr>
        <w:spacing w:after="0" w:line="117"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as defined in Rule 16a-1(f) under the Securities Exchange Act of 1934 (the Exchange Act), and directors from time to time enter into contracts, instructions or written plans for the purchase or sale of our securities that are intended to satisfy the affirmative defense conditions of Rule 10b5-1(c) against liability for trading in securities on the basis of material nonpublic information. During the quarter ended September 30, 2026, the following Section 16 officers adopted, modified, or terminated trading arrangements (as defined in Item 408 of Regulation S-K of the Exchange Act):</w:t>
      </w:r>
    </w:p>
    <w:p>
      <w:pPr>
        <w:spacing w:after="0" w:line="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14, 2026, David M. Wright, Vice President, Corporate Controller and Chief Accounting Officer, adopted a written trading plan designed to be in effect until February 26, 2027, with respect to the sale of up to 832 shares of Itron, Inc. common stock, subject to certain conditions.</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18, 2026, Donald L. Reeves, Senior Vice President, Outcomes, adopted a written trading plan designed to be in effect until August 31, 2027, with respect to the sale of up to 11,616 shares of Itron, Inc. common stock, subject to certain conditions.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24, 2026, Joan S. Hooper, Senior Vice President and Chief Financial Officer, adopted a written trading plan designed to be in effect until June 24, 2027, with respect to the exercise of up to 15,750 stock options of Itron, Inc. common stock, subject to certain conditions.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 2026, Justin K. Patrick, Senior Vice President, Device Solutions, adopted a written trading plan designed to be in effect until May 19, 2027, with respect to the sale of up to 7,435 shares of Itron, Inc. common stock, subject to certain conditions.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52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52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800" w:type="dxa"/>
            <w:vAlign w:val="bottom"/>
            <w:gridSpan w:val="2"/>
            <w:vMerge w:val="restart"/>
          </w:tcPr>
          <w:p>
            <w:pPr>
              <w:ind w:left="402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21"/>
                <w:szCs w:val="21"/>
                <w:color w:val="auto"/>
              </w:rPr>
            </w:pPr>
          </w:p>
        </w:tc>
        <w:tc>
          <w:tcPr>
            <w:tcW w:w="980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8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7"/>
                <w:szCs w:val="17"/>
                <w:color w:val="auto"/>
              </w:rPr>
            </w:pPr>
          </w:p>
        </w:tc>
        <w:tc>
          <w:tcPr>
            <w:tcW w:w="524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w:t>
            </w: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5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5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440" w:right="20" w:hanging="939"/>
        <w:spacing w:after="0" w:line="216" w:lineRule="auto"/>
        <w:tabs>
          <w:tab w:leader="none" w:pos="1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Itron, Inc.'s Quarterly Report on Form 10-Q for the quarter ended September 30, 2026 formatted in Inline XBRL (Extensible Business Reporting Language) includes: (i) the Consolidated Statements of Operations, (ii) the Consolidated Statements of Comprehensive Income, (iii) the Consolidated Balance Sheets, (iv) the Consolidated Statements of Equity,</w:t>
      </w:r>
    </w:p>
    <w:p>
      <w:pPr>
        <w:spacing w:after="0" w:line="1"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the Consolidated Statements of Cash Flows, and (vi) Notes to the Consolidated Financial Statements.</w:t>
      </w:r>
    </w:p>
    <w:p>
      <w:pPr>
        <w:spacing w:after="0" w:line="178" w:lineRule="exact"/>
        <w:rPr>
          <w:sz w:val="20"/>
          <w:szCs w:val="20"/>
          <w:color w:val="auto"/>
        </w:rPr>
      </w:pPr>
    </w:p>
    <w:p>
      <w:pPr>
        <w:ind w:left="1440" w:hanging="939"/>
        <w:spacing w:after="0"/>
        <w:tabs>
          <w:tab w:leader="none" w:pos="1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ITRON, INC.</w:t>
            </w:r>
          </w:p>
        </w:tc>
      </w:tr>
      <w:tr>
        <w:trPr>
          <w:trHeight w:val="499"/>
        </w:trPr>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October 27, 2026</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6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JOAN S. HOOPER</w:t>
            </w:r>
          </w:p>
        </w:tc>
      </w:tr>
      <w:tr>
        <w:trPr>
          <w:trHeight w:val="237"/>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80" w:type="dxa"/>
            <w:vAlign w:val="bottom"/>
          </w:tcPr>
          <w:p>
            <w:pPr>
              <w:spacing w:after="0"/>
              <w:rPr>
                <w:sz w:val="20"/>
                <w:szCs w:val="20"/>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Joan S. Hooper</w:t>
            </w:r>
          </w:p>
        </w:tc>
      </w:tr>
      <w:tr>
        <w:trPr>
          <w:trHeight w:val="243"/>
        </w:trPr>
        <w:tc>
          <w:tcPr>
            <w:tcW w:w="3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L. Deitrich, certify that:</w:t>
      </w:r>
    </w:p>
    <w:p>
      <w:pPr>
        <w:spacing w:after="0" w:line="25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ITRON, INC.</w:t>
      </w:r>
    </w:p>
    <w:p>
      <w:pPr>
        <w:spacing w:after="0" w:line="144" w:lineRule="exact"/>
        <w:rPr>
          <w:sz w:val="20"/>
          <w:szCs w:val="20"/>
          <w:color w:val="auto"/>
        </w:rPr>
      </w:pPr>
    </w:p>
    <w:p>
      <w:pPr>
        <w:ind w:left="7600"/>
        <w:spacing w:after="0"/>
        <w:tabs>
          <w:tab w:leader="none" w:pos="8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17145</wp:posOffset>
            </wp:positionV>
            <wp:extent cx="20574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8"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2026</w:t>
      </w:r>
    </w:p>
    <w:p>
      <w:pPr>
        <w:sectPr>
          <w:pgSz w:w="11900" w:h="16838" w:orient="portrait"/>
          <w:cols w:equalWidth="0" w:num="1">
            <w:col w:w="11240"/>
          </w:cols>
          <w:pgMar w:left="320" w:top="11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 S. Hooper, certify that:</w:t>
      </w:r>
    </w:p>
    <w:p>
      <w:pPr>
        <w:spacing w:after="0" w:line="25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ITRON, INC.</w:t>
      </w:r>
    </w:p>
    <w:p>
      <w:pPr>
        <w:spacing w:after="0" w:line="144" w:lineRule="exact"/>
        <w:rPr>
          <w:sz w:val="20"/>
          <w:szCs w:val="20"/>
          <w:color w:val="auto"/>
        </w:rPr>
      </w:pPr>
    </w:p>
    <w:p>
      <w:pPr>
        <w:ind w:left="540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2026</w:t>
      </w:r>
    </w:p>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of Itron, Inc. (the Company) on Form 10-Q for the quarterly period ended September 30, 2026 (the Report) for the purpose of complying with Rule 13a-14(b) or Rule 15d-14(b) of the Securities Exchange Act of 1934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Thomas L. Deitrich, the Chief Executive Officer, and Joan S. Hooper, the Chief Financial Officer, of the Company each certifies that to the best of his or her knowledge:</w:t>
      </w:r>
    </w:p>
    <w:p>
      <w:pPr>
        <w:spacing w:after="0" w:line="162" w:lineRule="exact"/>
        <w:rPr>
          <w:sz w:val="20"/>
          <w:szCs w:val="20"/>
          <w:color w:val="auto"/>
        </w:rPr>
      </w:pPr>
    </w:p>
    <w:p>
      <w:pPr>
        <w:ind w:left="840" w:hanging="387"/>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60" w:right="740" w:hanging="407"/>
        <w:spacing w:after="0" w:line="282" w:lineRule="auto"/>
        <w:tabs>
          <w:tab w:leader="none" w:pos="84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L. DEITRICH</w:t>
            </w:r>
          </w:p>
        </w:tc>
        <w:tc>
          <w:tcPr>
            <w:tcW w:w="540" w:type="dxa"/>
            <w:vAlign w:val="bottom"/>
          </w:tcPr>
          <w:p>
            <w:pPr>
              <w:spacing w:after="0"/>
              <w:rPr>
                <w:sz w:val="20"/>
                <w:szCs w:val="20"/>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October 27, 2026</w:t>
            </w:r>
          </w:p>
        </w:tc>
        <w:tc>
          <w:tcPr>
            <w:tcW w:w="0" w:type="dxa"/>
            <w:vAlign w:val="bottom"/>
          </w:tcPr>
          <w:p>
            <w:pPr>
              <w:spacing w:after="0"/>
              <w:rPr>
                <w:sz w:val="1"/>
                <w:szCs w:val="1"/>
                <w:color w:val="auto"/>
              </w:rPr>
            </w:pPr>
          </w:p>
        </w:tc>
      </w:tr>
      <w:tr>
        <w:trPr>
          <w:trHeight w:val="183"/>
        </w:trPr>
        <w:tc>
          <w:tcPr>
            <w:tcW w:w="6020" w:type="dxa"/>
            <w:vAlign w:val="bottom"/>
            <w:gridSpan w:val="2"/>
          </w:tcPr>
          <w:p>
            <w:pPr>
              <w:jc w:val="center"/>
              <w:ind w:right="520"/>
              <w:spacing w:after="0" w:line="182" w:lineRule="exact"/>
              <w:rPr>
                <w:sz w:val="20"/>
                <w:szCs w:val="20"/>
                <w:color w:val="auto"/>
              </w:rPr>
            </w:pPr>
            <w:r>
              <w:rPr>
                <w:rFonts w:ascii="Times New Roman" w:cs="Times New Roman" w:eastAsia="Times New Roman" w:hAnsi="Times New Roman"/>
                <w:sz w:val="18"/>
                <w:szCs w:val="18"/>
                <w:b w:val="1"/>
                <w:bCs w:val="1"/>
                <w:color w:val="auto"/>
                <w:w w:val="99"/>
              </w:rPr>
              <w:t>Thomas L. Deitrich</w:t>
            </w:r>
          </w:p>
        </w:tc>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43"/>
        </w:trPr>
        <w:tc>
          <w:tcPr>
            <w:tcW w:w="60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3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JOAN S. HOOPER</w:t>
            </w:r>
          </w:p>
        </w:tc>
        <w:tc>
          <w:tcPr>
            <w:tcW w:w="540" w:type="dxa"/>
            <w:vAlign w:val="bottom"/>
          </w:tcPr>
          <w:p>
            <w:pPr>
              <w:spacing w:after="0"/>
              <w:rPr>
                <w:sz w:val="20"/>
                <w:szCs w:val="20"/>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October 27, 2026</w:t>
            </w:r>
          </w:p>
        </w:tc>
        <w:tc>
          <w:tcPr>
            <w:tcW w:w="0" w:type="dxa"/>
            <w:vAlign w:val="bottom"/>
          </w:tcPr>
          <w:p>
            <w:pPr>
              <w:spacing w:after="0"/>
              <w:rPr>
                <w:sz w:val="1"/>
                <w:szCs w:val="1"/>
                <w:color w:val="auto"/>
              </w:rPr>
            </w:pPr>
          </w:p>
        </w:tc>
      </w:tr>
      <w:tr>
        <w:trPr>
          <w:trHeight w:val="183"/>
        </w:trPr>
        <w:tc>
          <w:tcPr>
            <w:tcW w:w="6020" w:type="dxa"/>
            <w:vAlign w:val="bottom"/>
            <w:gridSpan w:val="2"/>
          </w:tcPr>
          <w:p>
            <w:pPr>
              <w:jc w:val="center"/>
              <w:ind w:right="520"/>
              <w:spacing w:after="0" w:line="182" w:lineRule="exact"/>
              <w:rPr>
                <w:sz w:val="20"/>
                <w:szCs w:val="20"/>
                <w:color w:val="auto"/>
              </w:rPr>
            </w:pPr>
            <w:r>
              <w:rPr>
                <w:rFonts w:ascii="Times New Roman" w:cs="Times New Roman" w:eastAsia="Times New Roman" w:hAnsi="Times New Roman"/>
                <w:sz w:val="18"/>
                <w:szCs w:val="18"/>
                <w:b w:val="1"/>
                <w:bCs w:val="1"/>
                <w:color w:val="auto"/>
                <w:w w:val="99"/>
              </w:rPr>
              <w:t>Joan S. Hooper</w:t>
            </w:r>
          </w:p>
        </w:tc>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49"/>
        </w:trPr>
        <w:tc>
          <w:tcPr>
            <w:tcW w:w="60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c>
          <w:tcPr>
            <w:tcW w:w="3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020" w:type="dxa"/>
            <w:vAlign w:val="bottom"/>
            <w:gridSpan w:val="2"/>
            <w:vMerge w:val="continue"/>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lowerLetter"/>
      <w:start w:val="1"/>
    </w:lvl>
    <w:lvl w:ilvl="1">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01"/>
    </w:lvl>
  </w:abstractNum>
  <w:abstractNum w:abstractNumId="19">
    <w:nsid w:val="333AB105"/>
    <w:multiLevelType w:val="hybridMultilevel"/>
    <w:lvl w:ilvl="0">
      <w:lvlJc w:val="left"/>
      <w:lvlText w:val="%1"/>
      <w:numFmt w:val="decimal"/>
      <w:start w:val="104"/>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2026-10-27T12:38:15Z</dcterms:created>
  <dcterms:modified xsi:type="dcterms:W3CDTF">2026-10-27T12:38:15Z</dcterms:modified>
</cp:coreProperties>
</file>